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9209" w14:textId="0C1BAD28" w:rsidR="00E3519C" w:rsidRPr="00E3519C" w:rsidRDefault="00B948D1" w:rsidP="002A57D1">
      <w:pPr>
        <w:spacing w:line="240" w:lineRule="auto"/>
        <w:rPr>
          <w:rFonts w:ascii="Century Gothic" w:eastAsiaTheme="majorEastAsia" w:hAnsi="Century Gothic" w:cstheme="minorHAnsi"/>
          <w:b/>
          <w:color w:val="2F5496" w:themeColor="accent1" w:themeShade="BF"/>
          <w:sz w:val="32"/>
          <w:szCs w:val="32"/>
        </w:rPr>
      </w:pPr>
      <w:r w:rsidRPr="00E3519C">
        <w:rPr>
          <w:rFonts w:ascii="Century Gothic" w:hAnsi="Century Gothic" w:cs="Calibri"/>
          <w:bCs/>
          <w:sz w:val="20"/>
          <w:szCs w:val="20"/>
        </w:rPr>
        <w:br/>
      </w:r>
      <w:r w:rsidR="00E3519C" w:rsidRPr="00C9526A">
        <w:rPr>
          <w:rFonts w:ascii="Century Gothic" w:hAnsi="Century Gothic" w:cs="Arial"/>
          <w:b/>
          <w:bCs/>
          <w:color w:val="00B0F0"/>
          <w:sz w:val="36"/>
          <w:szCs w:val="24"/>
        </w:rPr>
        <w:t>202</w:t>
      </w:r>
      <w:r w:rsidR="008B6288">
        <w:rPr>
          <w:rFonts w:ascii="Century Gothic" w:hAnsi="Century Gothic" w:cs="Arial"/>
          <w:b/>
          <w:bCs/>
          <w:color w:val="00B0F0"/>
          <w:sz w:val="36"/>
          <w:szCs w:val="24"/>
        </w:rPr>
        <w:t>4</w:t>
      </w:r>
      <w:r w:rsidR="00E3519C" w:rsidRPr="00C9526A">
        <w:rPr>
          <w:rFonts w:ascii="Century Gothic" w:hAnsi="Century Gothic" w:cs="Arial"/>
          <w:b/>
          <w:bCs/>
          <w:color w:val="00B0F0"/>
          <w:sz w:val="36"/>
          <w:szCs w:val="24"/>
        </w:rPr>
        <w:t xml:space="preserve"> – </w:t>
      </w:r>
      <w:r w:rsidR="008E753F">
        <w:rPr>
          <w:rFonts w:ascii="Century Gothic" w:hAnsi="Century Gothic" w:cs="Arial"/>
          <w:b/>
          <w:bCs/>
          <w:color w:val="00B0F0"/>
          <w:sz w:val="36"/>
          <w:szCs w:val="24"/>
        </w:rPr>
        <w:t>Best Innovation in IR</w:t>
      </w:r>
      <w:r w:rsidR="00E3519C" w:rsidRPr="00E3519C">
        <w:rPr>
          <w:rFonts w:ascii="Century Gothic" w:eastAsiaTheme="majorEastAsia" w:hAnsi="Century Gothic" w:cstheme="minorHAnsi"/>
          <w:b/>
          <w:color w:val="2F5496" w:themeColor="accent1" w:themeShade="BF"/>
          <w:sz w:val="32"/>
          <w:szCs w:val="32"/>
        </w:rPr>
        <w:t xml:space="preserve"> </w:t>
      </w:r>
      <w:r w:rsidR="00E3519C" w:rsidRPr="00E3519C">
        <w:rPr>
          <w:rFonts w:ascii="Century Gothic" w:hAnsi="Century Gothic"/>
        </w:rPr>
        <w:t xml:space="preserve"> </w:t>
      </w:r>
    </w:p>
    <w:p w14:paraId="7BF5530F" w14:textId="5242AA5F" w:rsidR="00E3519C" w:rsidRPr="00A62158" w:rsidRDefault="00E3519C" w:rsidP="002A57D1">
      <w:pPr>
        <w:spacing w:line="240" w:lineRule="auto"/>
        <w:rPr>
          <w:rFonts w:ascii="Century Gothic" w:hAnsi="Century Gothic"/>
          <w:i/>
        </w:rPr>
      </w:pPr>
      <w:r w:rsidRPr="00A62158">
        <w:rPr>
          <w:rFonts w:ascii="Century Gothic" w:hAnsi="Century Gothic"/>
          <w:b/>
          <w:i/>
        </w:rPr>
        <w:t>Categories:</w:t>
      </w:r>
      <w:r w:rsidRPr="00A62158">
        <w:rPr>
          <w:rFonts w:ascii="Century Gothic" w:hAnsi="Century Gothic"/>
          <w:i/>
        </w:rPr>
        <w:t xml:space="preserve"> </w:t>
      </w:r>
      <w:r w:rsidR="008E3FF5" w:rsidRPr="00A62158">
        <w:rPr>
          <w:rFonts w:ascii="Century Gothic" w:hAnsi="Century Gothic"/>
          <w:i/>
        </w:rPr>
        <w:t>Small-, Mid-, and Large-cap Listed Companies</w:t>
      </w:r>
    </w:p>
    <w:p w14:paraId="0D8066F4" w14:textId="77777777" w:rsidR="00E3519C" w:rsidRPr="00C9526A" w:rsidRDefault="00E3519C" w:rsidP="002A57D1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C9526A">
        <w:rPr>
          <w:rFonts w:ascii="Century Gothic" w:hAnsi="Century Gothic" w:cs="Arial"/>
          <w:b/>
          <w:bCs/>
          <w:color w:val="00B0F0"/>
          <w:sz w:val="24"/>
          <w:szCs w:val="24"/>
        </w:rPr>
        <w:t xml:space="preserve">IR Principles </w:t>
      </w:r>
    </w:p>
    <w:p w14:paraId="21C39A20" w14:textId="77777777" w:rsidR="008B6288" w:rsidRPr="001968F0" w:rsidRDefault="008B6288" w:rsidP="008B6288">
      <w:pPr>
        <w:rPr>
          <w:rFonts w:ascii="Century Gothic" w:hAnsi="Century Gothic"/>
        </w:rPr>
      </w:pPr>
      <w:bookmarkStart w:id="0" w:name="_Hlk98857962"/>
      <w:r w:rsidRPr="001968F0">
        <w:rPr>
          <w:rFonts w:ascii="Century Gothic" w:hAnsi="Century Gothic"/>
        </w:rPr>
        <w:t xml:space="preserve">Please note that for all awards categories, companies need to emphasise how they have successfully addressed the following IR principles: </w:t>
      </w:r>
    </w:p>
    <w:bookmarkEnd w:id="0"/>
    <w:p w14:paraId="67FC7C6A" w14:textId="77777777" w:rsidR="008B6288" w:rsidRPr="001968F0" w:rsidRDefault="008B6288" w:rsidP="008B6288">
      <w:pPr>
        <w:numPr>
          <w:ilvl w:val="0"/>
          <w:numId w:val="30"/>
        </w:numPr>
        <w:rPr>
          <w:rFonts w:ascii="Century Gothic" w:hAnsi="Century Gothic" w:cstheme="minorHAnsi"/>
          <w:lang w:val="en-GB"/>
        </w:rPr>
      </w:pPr>
      <w:r w:rsidRPr="001968F0">
        <w:rPr>
          <w:rFonts w:ascii="Century Gothic" w:hAnsi="Century Gothic" w:cstheme="minorHAnsi"/>
          <w:lang w:val="en-GB"/>
        </w:rPr>
        <w:t xml:space="preserve">Having an </w:t>
      </w:r>
      <w:r>
        <w:rPr>
          <w:rFonts w:ascii="Century Gothic" w:hAnsi="Century Gothic" w:cstheme="minorHAnsi"/>
          <w:lang w:val="en-GB"/>
        </w:rPr>
        <w:t xml:space="preserve">integrated equity story and </w:t>
      </w:r>
      <w:r w:rsidRPr="001968F0">
        <w:rPr>
          <w:rFonts w:ascii="Century Gothic" w:hAnsi="Century Gothic" w:cstheme="minorHAnsi"/>
          <w:lang w:val="en-GB"/>
        </w:rPr>
        <w:t>investment case that is clearly communicated across all stakeholders setting out the company’s approach to long-term value creation</w:t>
      </w:r>
    </w:p>
    <w:p w14:paraId="5C3DD096" w14:textId="243CE61F" w:rsidR="008B6288" w:rsidRPr="001968F0" w:rsidRDefault="008B6288" w:rsidP="008B6288">
      <w:pPr>
        <w:numPr>
          <w:ilvl w:val="0"/>
          <w:numId w:val="30"/>
        </w:numPr>
        <w:rPr>
          <w:rFonts w:ascii="Century Gothic" w:hAnsi="Century Gothic" w:cstheme="minorHAnsi"/>
          <w:lang w:val="en-GB"/>
        </w:rPr>
      </w:pPr>
      <w:r w:rsidRPr="001968F0">
        <w:rPr>
          <w:rFonts w:ascii="Century Gothic" w:hAnsi="Century Gothic" w:cstheme="minorHAnsi"/>
          <w:lang w:val="en-GB"/>
        </w:rPr>
        <w:t xml:space="preserve">Engaging with investors, analysts and other relevant stakeholders with the depth, transparency, and </w:t>
      </w:r>
      <w:r w:rsidR="005E5B4A">
        <w:rPr>
          <w:rFonts w:ascii="Century Gothic" w:hAnsi="Century Gothic" w:cstheme="minorHAnsi"/>
          <w:lang w:val="en-GB"/>
        </w:rPr>
        <w:t>consistency</w:t>
      </w:r>
      <w:r w:rsidRPr="001968F0">
        <w:rPr>
          <w:rFonts w:ascii="Century Gothic" w:hAnsi="Century Gothic" w:cstheme="minorHAnsi"/>
          <w:lang w:val="en-GB"/>
        </w:rPr>
        <w:t xml:space="preserve"> to enable their fair assessment of the growth and value drivers of the company </w:t>
      </w:r>
    </w:p>
    <w:p w14:paraId="4A7801C7" w14:textId="77777777" w:rsidR="008B6288" w:rsidRPr="001968F0" w:rsidRDefault="008B6288" w:rsidP="008B6288">
      <w:pPr>
        <w:numPr>
          <w:ilvl w:val="0"/>
          <w:numId w:val="30"/>
        </w:numPr>
        <w:rPr>
          <w:rFonts w:ascii="Century Gothic" w:hAnsi="Century Gothic" w:cstheme="minorHAnsi"/>
          <w:lang w:val="en-GB"/>
        </w:rPr>
      </w:pPr>
      <w:r w:rsidRPr="001968F0">
        <w:rPr>
          <w:rFonts w:ascii="Century Gothic" w:hAnsi="Century Gothic" w:cstheme="minorHAnsi"/>
          <w:lang w:val="en-GB"/>
        </w:rPr>
        <w:t>Meeting or exceeding regulatory requirements around disclosure and focusing on greater transparency of communication on material risks, challenges, progress and milestones both internally and externally.</w:t>
      </w:r>
    </w:p>
    <w:p w14:paraId="7D59849A" w14:textId="77777777" w:rsidR="00E3519C" w:rsidRPr="00C9526A" w:rsidRDefault="00E3519C" w:rsidP="002A57D1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C9526A">
        <w:rPr>
          <w:rFonts w:ascii="Century Gothic" w:hAnsi="Century Gothic" w:cs="Arial"/>
          <w:b/>
          <w:bCs/>
          <w:color w:val="00B0F0"/>
          <w:sz w:val="24"/>
          <w:szCs w:val="24"/>
        </w:rPr>
        <w:t xml:space="preserve">Award Description </w:t>
      </w:r>
    </w:p>
    <w:p w14:paraId="277DD566" w14:textId="57C4D8BB" w:rsidR="00C345E8" w:rsidRPr="00C345E8" w:rsidRDefault="00C345E8" w:rsidP="002A57D1">
      <w:pPr>
        <w:spacing w:line="240" w:lineRule="auto"/>
        <w:rPr>
          <w:rFonts w:ascii="Century Gothic" w:hAnsi="Century Gothic"/>
        </w:rPr>
      </w:pPr>
      <w:r w:rsidRPr="00C345E8">
        <w:rPr>
          <w:rFonts w:ascii="Century Gothic" w:hAnsi="Century Gothic"/>
        </w:rPr>
        <w:t>Investor relations</w:t>
      </w:r>
      <w:r w:rsidR="00BB6A87">
        <w:rPr>
          <w:rFonts w:ascii="Century Gothic" w:hAnsi="Century Gothic"/>
        </w:rPr>
        <w:t xml:space="preserve"> is a complex, multi-dimensional</w:t>
      </w:r>
      <w:r w:rsidR="00F710F4">
        <w:rPr>
          <w:rFonts w:ascii="Century Gothic" w:hAnsi="Century Gothic"/>
        </w:rPr>
        <w:t xml:space="preserve"> and frequently solitary </w:t>
      </w:r>
      <w:r w:rsidR="00BB6A87">
        <w:rPr>
          <w:rFonts w:ascii="Century Gothic" w:hAnsi="Century Gothic"/>
        </w:rPr>
        <w:t xml:space="preserve">role, </w:t>
      </w:r>
      <w:r w:rsidR="006E171D">
        <w:rPr>
          <w:rFonts w:ascii="Century Gothic" w:hAnsi="Century Gothic"/>
        </w:rPr>
        <w:t>with many demands from a wide range of stakeholder</w:t>
      </w:r>
      <w:r w:rsidR="006521C1">
        <w:rPr>
          <w:rFonts w:ascii="Century Gothic" w:hAnsi="Century Gothic"/>
        </w:rPr>
        <w:t>s</w:t>
      </w:r>
      <w:r w:rsidR="008B33ED">
        <w:rPr>
          <w:rFonts w:ascii="Century Gothic" w:hAnsi="Century Gothic"/>
        </w:rPr>
        <w:t xml:space="preserve">. </w:t>
      </w:r>
      <w:r w:rsidR="00231B9C">
        <w:rPr>
          <w:rFonts w:ascii="Century Gothic" w:hAnsi="Century Gothic"/>
        </w:rPr>
        <w:t xml:space="preserve">These stakeholder groups and the </w:t>
      </w:r>
      <w:r w:rsidR="00AB365A">
        <w:rPr>
          <w:rFonts w:ascii="Century Gothic" w:hAnsi="Century Gothic"/>
        </w:rPr>
        <w:t xml:space="preserve">context </w:t>
      </w:r>
      <w:r w:rsidR="00231B9C">
        <w:rPr>
          <w:rFonts w:ascii="Century Gothic" w:hAnsi="Century Gothic"/>
        </w:rPr>
        <w:t xml:space="preserve">to the </w:t>
      </w:r>
      <w:r w:rsidR="00FD311A">
        <w:rPr>
          <w:rFonts w:ascii="Century Gothic" w:hAnsi="Century Gothic"/>
        </w:rPr>
        <w:t xml:space="preserve">IR </w:t>
      </w:r>
      <w:r w:rsidR="002A06F9">
        <w:rPr>
          <w:rFonts w:ascii="Century Gothic" w:hAnsi="Century Gothic"/>
        </w:rPr>
        <w:t xml:space="preserve">profession, the capital markets, are constantly evolving. </w:t>
      </w:r>
      <w:r w:rsidR="008B33ED">
        <w:rPr>
          <w:rFonts w:ascii="Century Gothic" w:hAnsi="Century Gothic"/>
        </w:rPr>
        <w:t>This requires investor relations professional</w:t>
      </w:r>
      <w:r w:rsidR="003A4FC8">
        <w:rPr>
          <w:rFonts w:ascii="Century Gothic" w:hAnsi="Century Gothic"/>
        </w:rPr>
        <w:t>s</w:t>
      </w:r>
      <w:r w:rsidR="008B33ED">
        <w:rPr>
          <w:rFonts w:ascii="Century Gothic" w:hAnsi="Century Gothic"/>
        </w:rPr>
        <w:t xml:space="preserve"> to be adaptive, agile and creative</w:t>
      </w:r>
      <w:r w:rsidR="002A06F9">
        <w:rPr>
          <w:rFonts w:ascii="Century Gothic" w:hAnsi="Century Gothic"/>
        </w:rPr>
        <w:t xml:space="preserve">, looking at how </w:t>
      </w:r>
      <w:r w:rsidR="00A91DF4">
        <w:rPr>
          <w:rFonts w:ascii="Century Gothic" w:hAnsi="Century Gothic"/>
        </w:rPr>
        <w:t xml:space="preserve">established processes can be improved, either to </w:t>
      </w:r>
      <w:r w:rsidR="00AB365A">
        <w:rPr>
          <w:rFonts w:ascii="Century Gothic" w:hAnsi="Century Gothic"/>
        </w:rPr>
        <w:t xml:space="preserve">resolve </w:t>
      </w:r>
      <w:r w:rsidR="009B39D0">
        <w:rPr>
          <w:rFonts w:ascii="Century Gothic" w:hAnsi="Century Gothic"/>
        </w:rPr>
        <w:t xml:space="preserve">a challenge or to deliver a better outcome. </w:t>
      </w:r>
    </w:p>
    <w:p w14:paraId="12B10CD5" w14:textId="77777777" w:rsidR="008B6288" w:rsidRDefault="00C345E8" w:rsidP="008B6288">
      <w:pPr>
        <w:spacing w:line="240" w:lineRule="auto"/>
        <w:rPr>
          <w:rFonts w:ascii="Century Gothic" w:hAnsi="Century Gothic"/>
        </w:rPr>
      </w:pPr>
      <w:bookmarkStart w:id="1" w:name="OLE_LINK1"/>
      <w:r w:rsidRPr="00C345E8">
        <w:rPr>
          <w:rFonts w:ascii="Century Gothic" w:hAnsi="Century Gothic"/>
        </w:rPr>
        <w:t xml:space="preserve">With this category, the Society is seeking </w:t>
      </w:r>
      <w:r w:rsidR="009C03C9">
        <w:rPr>
          <w:rFonts w:ascii="Century Gothic" w:hAnsi="Century Gothic"/>
        </w:rPr>
        <w:t xml:space="preserve">specific </w:t>
      </w:r>
      <w:r w:rsidRPr="00C345E8">
        <w:rPr>
          <w:rFonts w:ascii="Century Gothic" w:hAnsi="Century Gothic"/>
        </w:rPr>
        <w:t>examples of innovation</w:t>
      </w:r>
      <w:r w:rsidR="006521C1">
        <w:rPr>
          <w:rFonts w:ascii="Century Gothic" w:hAnsi="Century Gothic"/>
        </w:rPr>
        <w:t xml:space="preserve"> and</w:t>
      </w:r>
      <w:r w:rsidR="00E308E6">
        <w:rPr>
          <w:rFonts w:ascii="Century Gothic" w:hAnsi="Century Gothic"/>
        </w:rPr>
        <w:t xml:space="preserve"> / </w:t>
      </w:r>
      <w:r w:rsidR="00C2312B">
        <w:rPr>
          <w:rFonts w:ascii="Century Gothic" w:hAnsi="Century Gothic"/>
        </w:rPr>
        <w:t xml:space="preserve">or </w:t>
      </w:r>
      <w:r w:rsidR="00C2312B" w:rsidRPr="00C345E8">
        <w:rPr>
          <w:rFonts w:ascii="Century Gothic" w:hAnsi="Century Gothic"/>
        </w:rPr>
        <w:t>transformation</w:t>
      </w:r>
      <w:r w:rsidRPr="00C345E8">
        <w:rPr>
          <w:rFonts w:ascii="Century Gothic" w:hAnsi="Century Gothic"/>
        </w:rPr>
        <w:t xml:space="preserve"> which </w:t>
      </w:r>
      <w:r w:rsidR="00206572">
        <w:rPr>
          <w:rFonts w:ascii="Century Gothic" w:hAnsi="Century Gothic"/>
        </w:rPr>
        <w:t>have</w:t>
      </w:r>
      <w:r w:rsidR="00206572" w:rsidRPr="00C345E8">
        <w:rPr>
          <w:rFonts w:ascii="Century Gothic" w:hAnsi="Century Gothic"/>
        </w:rPr>
        <w:t xml:space="preserve"> </w:t>
      </w:r>
      <w:r w:rsidRPr="00C345E8">
        <w:rPr>
          <w:rFonts w:ascii="Century Gothic" w:hAnsi="Century Gothic"/>
        </w:rPr>
        <w:t>taken place over the last 12</w:t>
      </w:r>
      <w:r w:rsidR="00E308E6">
        <w:rPr>
          <w:rFonts w:ascii="Century Gothic" w:hAnsi="Century Gothic"/>
        </w:rPr>
        <w:t xml:space="preserve"> </w:t>
      </w:r>
      <w:r w:rsidRPr="00C345E8">
        <w:rPr>
          <w:rFonts w:ascii="Century Gothic" w:hAnsi="Century Gothic"/>
        </w:rPr>
        <w:t>months.</w:t>
      </w:r>
      <w:r w:rsidR="009C03C9">
        <w:rPr>
          <w:rFonts w:ascii="Century Gothic" w:hAnsi="Century Gothic"/>
        </w:rPr>
        <w:t xml:space="preserve"> </w:t>
      </w:r>
      <w:r w:rsidR="008B6288">
        <w:rPr>
          <w:rFonts w:ascii="Century Gothic" w:hAnsi="Century Gothic"/>
        </w:rPr>
        <w:t xml:space="preserve">This might include (but is not limited to) the use of new resources such as AI and digital communications; pioneering out-reach techniques; or novel formats for meetings, events and reports. </w:t>
      </w:r>
    </w:p>
    <w:p w14:paraId="392FCAFF" w14:textId="359F3E4E" w:rsidR="008B6288" w:rsidRPr="005E5B4A" w:rsidRDefault="008B6288" w:rsidP="005E5B4A">
      <w:pPr>
        <w:spacing w:line="240" w:lineRule="auto"/>
        <w:rPr>
          <w:rFonts w:ascii="Century Gothic" w:hAnsi="Century Gothic"/>
        </w:rPr>
      </w:pPr>
      <w:r w:rsidRPr="005E5B4A">
        <w:rPr>
          <w:rFonts w:ascii="Century Gothic" w:hAnsi="Century Gothic"/>
        </w:rPr>
        <w:t>The judges recognise that the use of AI may not be visible as a direct output of a company's IR programme. In this context companies may therefore wish to provide an account of innovative uses of AI which relate to a range of IR tasks and processes, as opposed to a single innovation.</w:t>
      </w:r>
    </w:p>
    <w:p w14:paraId="7218077A" w14:textId="57945C98" w:rsidR="00C345E8" w:rsidRPr="00C345E8" w:rsidRDefault="00C345E8" w:rsidP="002A57D1">
      <w:pPr>
        <w:spacing w:line="240" w:lineRule="auto"/>
        <w:rPr>
          <w:rFonts w:ascii="Century Gothic" w:hAnsi="Century Gothic"/>
        </w:rPr>
      </w:pPr>
      <w:r w:rsidRPr="00C345E8">
        <w:rPr>
          <w:rFonts w:ascii="Century Gothic" w:hAnsi="Century Gothic"/>
        </w:rPr>
        <w:t xml:space="preserve">The objective of this Award is to recognise and </w:t>
      </w:r>
      <w:r w:rsidR="009C03C9">
        <w:rPr>
          <w:rFonts w:ascii="Century Gothic" w:hAnsi="Century Gothic"/>
        </w:rPr>
        <w:t xml:space="preserve">to </w:t>
      </w:r>
      <w:r w:rsidRPr="00C345E8">
        <w:rPr>
          <w:rFonts w:ascii="Century Gothic" w:hAnsi="Century Gothic"/>
        </w:rPr>
        <w:t xml:space="preserve">encourage continuous </w:t>
      </w:r>
      <w:r w:rsidR="00F710F4">
        <w:rPr>
          <w:rFonts w:ascii="Century Gothic" w:hAnsi="Century Gothic"/>
        </w:rPr>
        <w:t>evolution</w:t>
      </w:r>
      <w:r w:rsidRPr="00C345E8">
        <w:rPr>
          <w:rFonts w:ascii="Century Gothic" w:hAnsi="Century Gothic"/>
        </w:rPr>
        <w:t xml:space="preserve"> </w:t>
      </w:r>
      <w:r w:rsidR="00AD7B18">
        <w:rPr>
          <w:rFonts w:ascii="Century Gothic" w:hAnsi="Century Gothic"/>
        </w:rPr>
        <w:t>and</w:t>
      </w:r>
      <w:r w:rsidRPr="00C345E8">
        <w:rPr>
          <w:rFonts w:ascii="Century Gothic" w:hAnsi="Century Gothic"/>
        </w:rPr>
        <w:t xml:space="preserve"> improvement in our industry. </w:t>
      </w:r>
      <w:r w:rsidR="00F710F4">
        <w:rPr>
          <w:rFonts w:ascii="Century Gothic" w:hAnsi="Century Gothic"/>
        </w:rPr>
        <w:t xml:space="preserve"> </w:t>
      </w:r>
      <w:r w:rsidRPr="00C345E8">
        <w:rPr>
          <w:rFonts w:ascii="Century Gothic" w:hAnsi="Century Gothic"/>
        </w:rPr>
        <w:t xml:space="preserve">Whilst there can only be one </w:t>
      </w:r>
      <w:r w:rsidR="00F710F4">
        <w:rPr>
          <w:rFonts w:ascii="Century Gothic" w:hAnsi="Century Gothic"/>
        </w:rPr>
        <w:t xml:space="preserve">ultimate </w:t>
      </w:r>
      <w:r w:rsidRPr="00C345E8">
        <w:rPr>
          <w:rFonts w:ascii="Century Gothic" w:hAnsi="Century Gothic"/>
        </w:rPr>
        <w:t xml:space="preserve">winner in each category, </w:t>
      </w:r>
      <w:r w:rsidR="00F710F4">
        <w:rPr>
          <w:rFonts w:ascii="Century Gothic" w:hAnsi="Century Gothic"/>
        </w:rPr>
        <w:t xml:space="preserve">the IR Society will look to cite a greater number of nominations in this category, both at the Awards Dinner and beyond.  </w:t>
      </w:r>
      <w:bookmarkEnd w:id="1"/>
      <w:r w:rsidR="00F710F4">
        <w:rPr>
          <w:rFonts w:ascii="Century Gothic" w:hAnsi="Century Gothic"/>
        </w:rPr>
        <w:t>A</w:t>
      </w:r>
      <w:r w:rsidRPr="00C345E8">
        <w:rPr>
          <w:rFonts w:ascii="Century Gothic" w:hAnsi="Century Gothic"/>
        </w:rPr>
        <w:t xml:space="preserve">ll </w:t>
      </w:r>
      <w:r w:rsidR="00F710F4">
        <w:rPr>
          <w:rFonts w:ascii="Century Gothic" w:hAnsi="Century Gothic"/>
        </w:rPr>
        <w:t xml:space="preserve">of </w:t>
      </w:r>
      <w:r w:rsidRPr="00C345E8">
        <w:rPr>
          <w:rFonts w:ascii="Century Gothic" w:hAnsi="Century Gothic"/>
        </w:rPr>
        <w:t xml:space="preserve">those that enter will </w:t>
      </w:r>
      <w:r w:rsidR="00F710F4">
        <w:rPr>
          <w:rFonts w:ascii="Century Gothic" w:hAnsi="Century Gothic"/>
        </w:rPr>
        <w:t xml:space="preserve">have </w:t>
      </w:r>
      <w:r w:rsidRPr="00C345E8">
        <w:rPr>
          <w:rFonts w:ascii="Century Gothic" w:hAnsi="Century Gothic"/>
        </w:rPr>
        <w:t>demonstrate</w:t>
      </w:r>
      <w:r w:rsidR="00F710F4">
        <w:rPr>
          <w:rFonts w:ascii="Century Gothic" w:hAnsi="Century Gothic"/>
        </w:rPr>
        <w:t>d an example of innovation relative to their previous practice.  They will be</w:t>
      </w:r>
      <w:r w:rsidRPr="00C345E8">
        <w:rPr>
          <w:rFonts w:ascii="Century Gothic" w:hAnsi="Century Gothic"/>
        </w:rPr>
        <w:t xml:space="preserve"> commit</w:t>
      </w:r>
      <w:r w:rsidR="00F710F4">
        <w:rPr>
          <w:rFonts w:ascii="Century Gothic" w:hAnsi="Century Gothic"/>
        </w:rPr>
        <w:t>ted</w:t>
      </w:r>
      <w:r w:rsidRPr="00C345E8">
        <w:rPr>
          <w:rFonts w:ascii="Century Gothic" w:hAnsi="Century Gothic"/>
        </w:rPr>
        <w:t xml:space="preserve"> to driving the importance, efficiency and effectiveness of the profession</w:t>
      </w:r>
      <w:r w:rsidR="00840018">
        <w:rPr>
          <w:rFonts w:ascii="Century Gothic" w:hAnsi="Century Gothic"/>
        </w:rPr>
        <w:t>,</w:t>
      </w:r>
      <w:r w:rsidRPr="00C345E8">
        <w:rPr>
          <w:rFonts w:ascii="Century Gothic" w:hAnsi="Century Gothic"/>
        </w:rPr>
        <w:t xml:space="preserve"> </w:t>
      </w:r>
      <w:r w:rsidR="0067558E">
        <w:rPr>
          <w:rFonts w:ascii="Century Gothic" w:hAnsi="Century Gothic"/>
        </w:rPr>
        <w:t>enabl</w:t>
      </w:r>
      <w:r w:rsidR="00F710F4">
        <w:rPr>
          <w:rFonts w:ascii="Century Gothic" w:hAnsi="Century Gothic"/>
        </w:rPr>
        <w:t>ing</w:t>
      </w:r>
      <w:r w:rsidR="0067558E">
        <w:rPr>
          <w:rFonts w:ascii="Century Gothic" w:hAnsi="Century Gothic"/>
        </w:rPr>
        <w:t xml:space="preserve"> it to reach new stakeholders </w:t>
      </w:r>
      <w:r w:rsidRPr="00C345E8">
        <w:rPr>
          <w:rFonts w:ascii="Century Gothic" w:hAnsi="Century Gothic"/>
        </w:rPr>
        <w:t>and in turn hopefully attract a new generation of diverse talent.</w:t>
      </w:r>
      <w:r w:rsidR="009C03C9">
        <w:rPr>
          <w:rFonts w:ascii="Century Gothic" w:hAnsi="Century Gothic"/>
        </w:rPr>
        <w:t xml:space="preserve">  </w:t>
      </w:r>
    </w:p>
    <w:p w14:paraId="7C7DD067" w14:textId="452AAC8E" w:rsidR="00F06FDA" w:rsidRPr="00F06FDA" w:rsidRDefault="00F06FDA" w:rsidP="002A57D1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C9526A">
        <w:rPr>
          <w:rFonts w:ascii="Century Gothic" w:hAnsi="Century Gothic" w:cs="Arial"/>
          <w:b/>
          <w:bCs/>
          <w:color w:val="00B0F0"/>
          <w:sz w:val="24"/>
          <w:szCs w:val="24"/>
        </w:rPr>
        <w:t>AWARD CRITERIA</w:t>
      </w:r>
    </w:p>
    <w:p w14:paraId="25534C23" w14:textId="2FCD6FF1" w:rsidR="00C345E8" w:rsidRPr="00C345E8" w:rsidRDefault="00C345E8" w:rsidP="002A57D1">
      <w:pPr>
        <w:spacing w:line="240" w:lineRule="auto"/>
        <w:rPr>
          <w:rFonts w:eastAsia="Times New Roman"/>
          <w:color w:val="000000"/>
          <w:lang w:val="en-GB" w:eastAsia="en-GB"/>
        </w:rPr>
      </w:pPr>
      <w:r w:rsidRPr="00C345E8">
        <w:rPr>
          <w:rFonts w:ascii="Century Gothic" w:hAnsi="Century Gothic"/>
        </w:rPr>
        <w:t>In sharing your example of innovation, please provide detail</w:t>
      </w:r>
      <w:r w:rsidR="009C03C9">
        <w:rPr>
          <w:rFonts w:ascii="Century Gothic" w:hAnsi="Century Gothic"/>
        </w:rPr>
        <w:t>s</w:t>
      </w:r>
      <w:r w:rsidRPr="00C345E8">
        <w:rPr>
          <w:rFonts w:ascii="Century Gothic" w:hAnsi="Century Gothic"/>
        </w:rPr>
        <w:t xml:space="preserve"> on each of the following stages:</w:t>
      </w:r>
    </w:p>
    <w:p w14:paraId="079C91DE" w14:textId="65035392" w:rsidR="00C345E8" w:rsidRPr="009B1527" w:rsidRDefault="000307BD" w:rsidP="002A57D1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Origination</w:t>
      </w:r>
      <w:r w:rsidRPr="009B1527">
        <w:rPr>
          <w:rFonts w:ascii="Century Gothic" w:hAnsi="Century Gothic"/>
        </w:rPr>
        <w:t> </w:t>
      </w:r>
      <w:r w:rsidR="00C345E8" w:rsidRPr="009B1527">
        <w:rPr>
          <w:rFonts w:ascii="Century Gothic" w:hAnsi="Century Gothic"/>
        </w:rPr>
        <w:t>– what triggered the idea, was it a problem to be solved or an opportunity to be captured</w:t>
      </w:r>
      <w:r w:rsidR="00840018">
        <w:rPr>
          <w:rFonts w:ascii="Century Gothic" w:hAnsi="Century Gothic"/>
        </w:rPr>
        <w:t>?</w:t>
      </w:r>
    </w:p>
    <w:p w14:paraId="0BC3A2FE" w14:textId="0B774015" w:rsidR="00C345E8" w:rsidRPr="009B1527" w:rsidRDefault="00C345E8" w:rsidP="002A57D1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 w:rsidRPr="009B1527">
        <w:rPr>
          <w:rFonts w:ascii="Century Gothic" w:hAnsi="Century Gothic"/>
        </w:rPr>
        <w:t>Execution - provide an indication of the time, money, process and resources involved to make the innovation happen</w:t>
      </w:r>
      <w:r w:rsidR="00840018">
        <w:rPr>
          <w:rFonts w:ascii="Century Gothic" w:hAnsi="Century Gothic"/>
        </w:rPr>
        <w:t>.</w:t>
      </w:r>
      <w:r w:rsidR="0094687C">
        <w:rPr>
          <w:rFonts w:ascii="Century Gothic" w:hAnsi="Century Gothic"/>
        </w:rPr>
        <w:t xml:space="preserve"> If</w:t>
      </w:r>
      <w:r w:rsidR="005C683B">
        <w:rPr>
          <w:rFonts w:ascii="Century Gothic" w:hAnsi="Century Gothic"/>
        </w:rPr>
        <w:t xml:space="preserve"> additional</w:t>
      </w:r>
      <w:r w:rsidR="0094687C">
        <w:rPr>
          <w:rFonts w:ascii="Century Gothic" w:hAnsi="Century Gothic"/>
        </w:rPr>
        <w:t xml:space="preserve"> budget was required, indicate </w:t>
      </w:r>
      <w:r w:rsidR="005F3C9D">
        <w:rPr>
          <w:rFonts w:ascii="Century Gothic" w:hAnsi="Century Gothic"/>
        </w:rPr>
        <w:t>how you persuaded</w:t>
      </w:r>
      <w:r w:rsidR="005C683B">
        <w:rPr>
          <w:rFonts w:ascii="Century Gothic" w:hAnsi="Century Gothic"/>
        </w:rPr>
        <w:t xml:space="preserve"> senior stakeholders to invest</w:t>
      </w:r>
      <w:r w:rsidR="0077274F">
        <w:rPr>
          <w:rFonts w:ascii="Century Gothic" w:hAnsi="Century Gothic"/>
        </w:rPr>
        <w:t>.</w:t>
      </w:r>
    </w:p>
    <w:p w14:paraId="5C7EC2F7" w14:textId="774C43A5" w:rsidR="009C03C9" w:rsidRDefault="00C345E8" w:rsidP="002A57D1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 w:rsidRPr="009B1527">
        <w:rPr>
          <w:rFonts w:ascii="Century Gothic" w:hAnsi="Century Gothic"/>
        </w:rPr>
        <w:t>E</w:t>
      </w:r>
      <w:r w:rsidR="00C60068">
        <w:rPr>
          <w:rFonts w:ascii="Century Gothic" w:hAnsi="Century Gothic"/>
        </w:rPr>
        <w:t>valuation</w:t>
      </w:r>
      <w:r w:rsidRPr="009B1527">
        <w:rPr>
          <w:rFonts w:ascii="Century Gothic" w:hAnsi="Century Gothic"/>
        </w:rPr>
        <w:t xml:space="preserve"> – provide </w:t>
      </w:r>
      <w:r w:rsidR="00D359A9">
        <w:rPr>
          <w:rFonts w:ascii="Century Gothic" w:hAnsi="Century Gothic"/>
        </w:rPr>
        <w:t xml:space="preserve">an </w:t>
      </w:r>
      <w:r w:rsidRPr="009B1527">
        <w:rPr>
          <w:rFonts w:ascii="Century Gothic" w:hAnsi="Century Gothic"/>
        </w:rPr>
        <w:t xml:space="preserve">indication of </w:t>
      </w:r>
      <w:r w:rsidR="009305FA">
        <w:rPr>
          <w:rFonts w:ascii="Century Gothic" w:hAnsi="Century Gothic"/>
        </w:rPr>
        <w:t xml:space="preserve">the outcome and </w:t>
      </w:r>
      <w:r w:rsidRPr="009B1527">
        <w:rPr>
          <w:rFonts w:ascii="Century Gothic" w:hAnsi="Century Gothic"/>
        </w:rPr>
        <w:t>how the effectiveness of the innovation was/is being assessed</w:t>
      </w:r>
      <w:r w:rsidR="009C03C9">
        <w:rPr>
          <w:rFonts w:ascii="Century Gothic" w:hAnsi="Century Gothic"/>
        </w:rPr>
        <w:t xml:space="preserve"> and whether it has become established practice</w:t>
      </w:r>
      <w:r w:rsidR="00D359A9">
        <w:rPr>
          <w:rFonts w:ascii="Century Gothic" w:hAnsi="Century Gothic"/>
        </w:rPr>
        <w:t>.</w:t>
      </w:r>
    </w:p>
    <w:p w14:paraId="15DF233D" w14:textId="274A6CCF" w:rsidR="00C345E8" w:rsidRPr="0049011E" w:rsidRDefault="00855E65" w:rsidP="002A57D1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Submissions</w:t>
      </w:r>
      <w:r w:rsidR="009C03C9">
        <w:rPr>
          <w:rFonts w:ascii="Century Gothic" w:hAnsi="Century Gothic"/>
        </w:rPr>
        <w:t xml:space="preserve"> should</w:t>
      </w:r>
      <w:r>
        <w:rPr>
          <w:rFonts w:ascii="Century Gothic" w:hAnsi="Century Gothic"/>
        </w:rPr>
        <w:t xml:space="preserve"> be</w:t>
      </w:r>
      <w:r w:rsidR="009C03C9">
        <w:rPr>
          <w:rFonts w:ascii="Century Gothic" w:hAnsi="Century Gothic"/>
        </w:rPr>
        <w:t xml:space="preserve"> no </w:t>
      </w:r>
      <w:r>
        <w:rPr>
          <w:rFonts w:ascii="Century Gothic" w:hAnsi="Century Gothic"/>
        </w:rPr>
        <w:t>more</w:t>
      </w:r>
      <w:r w:rsidR="009C03C9">
        <w:rPr>
          <w:rFonts w:ascii="Century Gothic" w:hAnsi="Century Gothic"/>
        </w:rPr>
        <w:t xml:space="preserve"> than </w:t>
      </w:r>
      <w:r w:rsidR="00E41FFD">
        <w:rPr>
          <w:rFonts w:ascii="Century Gothic" w:hAnsi="Century Gothic"/>
        </w:rPr>
        <w:t>8</w:t>
      </w:r>
      <w:r w:rsidR="002C40AB" w:rsidRPr="002A57D1">
        <w:rPr>
          <w:rFonts w:ascii="Century Gothic" w:hAnsi="Century Gothic"/>
        </w:rPr>
        <w:t>00 words</w:t>
      </w:r>
      <w:r w:rsidR="002C40AB">
        <w:rPr>
          <w:rFonts w:ascii="Century Gothic" w:hAnsi="Century Gothic"/>
        </w:rPr>
        <w:t xml:space="preserve"> and s</w:t>
      </w:r>
      <w:r w:rsidR="009C03C9">
        <w:rPr>
          <w:rFonts w:ascii="Century Gothic" w:hAnsi="Century Gothic"/>
        </w:rPr>
        <w:t xml:space="preserve">upporting information can include both quantitative and/or qualitative information.  </w:t>
      </w:r>
      <w:r w:rsidR="00C345E8" w:rsidRPr="0049011E">
        <w:rPr>
          <w:rFonts w:ascii="Century Gothic" w:hAnsi="Century Gothic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19C" w:rsidRPr="00E3519C" w14:paraId="301B64FC" w14:textId="77777777" w:rsidTr="00104658">
        <w:tc>
          <w:tcPr>
            <w:tcW w:w="9016" w:type="dxa"/>
            <w:shd w:val="clear" w:color="auto" w:fill="4472C4"/>
          </w:tcPr>
          <w:p w14:paraId="6ED658D9" w14:textId="6D6CF31B" w:rsidR="00E3519C" w:rsidRPr="00F5483D" w:rsidRDefault="007F6C2C" w:rsidP="002A57D1">
            <w:pPr>
              <w:spacing w:line="240" w:lineRule="auto"/>
              <w:rPr>
                <w:rFonts w:ascii="Century Gothic" w:hAnsi="Century Gothic"/>
                <w:color w:val="FFFFFF" w:themeColor="background1"/>
                <w:lang w:val="en-GB"/>
              </w:rPr>
            </w:pPr>
            <w:r>
              <w:rPr>
                <w:rFonts w:ascii="Century Gothic" w:hAnsi="Century Gothic"/>
                <w:color w:val="FFFFFF" w:themeColor="background1"/>
                <w:lang w:val="en-GB"/>
              </w:rPr>
              <w:t>Considerations for your entry could</w:t>
            </w:r>
            <w:r w:rsidR="00C345E8" w:rsidRPr="00F5483D">
              <w:rPr>
                <w:rFonts w:ascii="Century Gothic" w:hAnsi="Century Gothic"/>
                <w:color w:val="FFFFFF" w:themeColor="background1"/>
                <w:lang w:val="en-GB"/>
              </w:rPr>
              <w:t xml:space="preserve"> include, but </w:t>
            </w:r>
            <w:r w:rsidR="004D3E29">
              <w:rPr>
                <w:rFonts w:ascii="Century Gothic" w:hAnsi="Century Gothic"/>
                <w:color w:val="FFFFFF" w:themeColor="background1"/>
                <w:lang w:val="en-GB"/>
              </w:rPr>
              <w:t>are</w:t>
            </w:r>
            <w:r w:rsidR="004D3E29" w:rsidRPr="00F5483D">
              <w:rPr>
                <w:rFonts w:ascii="Century Gothic" w:hAnsi="Century Gothic"/>
                <w:color w:val="FFFFFF" w:themeColor="background1"/>
                <w:lang w:val="en-GB"/>
              </w:rPr>
              <w:t xml:space="preserve"> </w:t>
            </w:r>
            <w:r w:rsidR="00C345E8" w:rsidRPr="00F5483D">
              <w:rPr>
                <w:rFonts w:ascii="Century Gothic" w:hAnsi="Century Gothic"/>
                <w:color w:val="FFFFFF" w:themeColor="background1"/>
                <w:lang w:val="en-GB"/>
              </w:rPr>
              <w:t>not limited to:</w:t>
            </w:r>
          </w:p>
        </w:tc>
      </w:tr>
      <w:tr w:rsidR="00E3519C" w:rsidRPr="00E3519C" w14:paraId="172B56C8" w14:textId="77777777" w:rsidTr="00104658">
        <w:trPr>
          <w:trHeight w:val="340"/>
        </w:trPr>
        <w:tc>
          <w:tcPr>
            <w:tcW w:w="9016" w:type="dxa"/>
            <w:vAlign w:val="center"/>
          </w:tcPr>
          <w:p w14:paraId="304C493D" w14:textId="2B2B3871" w:rsidR="00EE36C4" w:rsidRPr="00F5483D" w:rsidRDefault="007C3301" w:rsidP="002A57D1">
            <w:pPr>
              <w:spacing w:after="0" w:line="240" w:lineRule="auto"/>
              <w:rPr>
                <w:rFonts w:ascii="Century Gothic" w:eastAsia="Times New Roman" w:hAnsi="Century Gothic"/>
                <w:color w:val="000000" w:themeColor="text1"/>
                <w:lang w:val="en-GB" w:eastAsia="en-GB"/>
              </w:rPr>
            </w:pPr>
            <w:r>
              <w:rPr>
                <w:rFonts w:ascii="Century Gothic" w:eastAsia="Times New Roman" w:hAnsi="Century Gothic"/>
                <w:color w:val="000000" w:themeColor="text1"/>
                <w:lang w:val="en-GB" w:eastAsia="en-GB"/>
              </w:rPr>
              <w:t xml:space="preserve">Communicating </w:t>
            </w:r>
            <w:r w:rsidR="00E308E6">
              <w:rPr>
                <w:rFonts w:ascii="Century Gothic" w:eastAsia="Times New Roman" w:hAnsi="Century Gothic"/>
                <w:color w:val="000000" w:themeColor="text1"/>
                <w:lang w:val="en-GB" w:eastAsia="en-GB"/>
              </w:rPr>
              <w:t xml:space="preserve">and educating on </w:t>
            </w:r>
            <w:r>
              <w:rPr>
                <w:rFonts w:ascii="Century Gothic" w:eastAsia="Times New Roman" w:hAnsi="Century Gothic"/>
                <w:color w:val="000000" w:themeColor="text1"/>
                <w:lang w:val="en-GB" w:eastAsia="en-GB"/>
              </w:rPr>
              <w:t>the investment case</w:t>
            </w:r>
            <w:r w:rsidR="00E308E6">
              <w:rPr>
                <w:rFonts w:ascii="Century Gothic" w:eastAsia="Times New Roman" w:hAnsi="Century Gothic"/>
                <w:color w:val="000000" w:themeColor="text1"/>
                <w:lang w:val="en-GB" w:eastAsia="en-GB"/>
              </w:rPr>
              <w:t xml:space="preserve"> or specific company message</w:t>
            </w:r>
          </w:p>
          <w:p w14:paraId="6BB0CA64" w14:textId="752A8635" w:rsidR="00632EAA" w:rsidRPr="00F5483D" w:rsidRDefault="00632EAA" w:rsidP="002A57D1">
            <w:pPr>
              <w:pStyle w:val="xmsolistparagraph"/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Communications and media</w:t>
            </w:r>
          </w:p>
          <w:p w14:paraId="744A6BFA" w14:textId="77777777" w:rsidR="00251B2B" w:rsidRPr="00F5483D" w:rsidRDefault="00251B2B" w:rsidP="002A57D1">
            <w:pPr>
              <w:pStyle w:val="xmsolist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Reporting (annual report, sustainability report, strategic report)</w:t>
            </w:r>
          </w:p>
          <w:p w14:paraId="661D3E45" w14:textId="77777777" w:rsidR="00251B2B" w:rsidRPr="00F5483D" w:rsidRDefault="00251B2B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Access to company information</w:t>
            </w:r>
          </w:p>
          <w:p w14:paraId="154D1E19" w14:textId="1AE3E459" w:rsidR="00390154" w:rsidRDefault="00390154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Website design/navigation/user experience</w:t>
            </w:r>
          </w:p>
          <w:p w14:paraId="33BBD963" w14:textId="43CBFBA4" w:rsidR="00632EAA" w:rsidRDefault="0031565B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Digital</w:t>
            </w:r>
            <w:r w:rsidR="009C03C9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/social</w:t>
            </w: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</w:t>
            </w:r>
            <w:r w:rsidR="00632EAA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media </w:t>
            </w:r>
            <w:r w:rsidR="009C03C9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or</w:t>
            </w:r>
            <w:r w:rsidR="00632EAA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</w:t>
            </w:r>
            <w:r w:rsidR="000066CF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news flow dissemination</w:t>
            </w:r>
          </w:p>
          <w:p w14:paraId="12F1AF15" w14:textId="1969D58A" w:rsidR="003A61CC" w:rsidRPr="00F5483D" w:rsidRDefault="0026241C" w:rsidP="002A57D1">
            <w:pPr>
              <w:pStyle w:val="xmsolistparagraph"/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Capital markets</w:t>
            </w:r>
          </w:p>
          <w:p w14:paraId="17A00664" w14:textId="03818F3C" w:rsidR="001D3B8C" w:rsidRPr="00F5483D" w:rsidRDefault="009C03C9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Financial results or c</w:t>
            </w:r>
            <w:r w:rsidR="00251B2B"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apital markets events</w:t>
            </w:r>
          </w:p>
          <w:p w14:paraId="0160206C" w14:textId="296D56E8" w:rsidR="00E3519C" w:rsidRDefault="000066CF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C</w:t>
            </w:r>
            <w:r w:rsidR="00CD6014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orporate </w:t>
            </w:r>
            <w:r w:rsidR="00251B2B"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access</w:t>
            </w: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and investor engagement</w:t>
            </w:r>
          </w:p>
          <w:p w14:paraId="0A2DEACC" w14:textId="3164E78A" w:rsidR="00C840D2" w:rsidRDefault="00CB183D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Sell-side</w:t>
            </w:r>
            <w:r w:rsidR="009C03C9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/buy-side</w:t>
            </w: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interaction</w:t>
            </w:r>
          </w:p>
          <w:p w14:paraId="25FDDD9B" w14:textId="6008A86F" w:rsidR="00BA4E91" w:rsidRPr="00BC15D0" w:rsidRDefault="00BA4E91" w:rsidP="002A57D1">
            <w:pPr>
              <w:pStyle w:val="x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Transactional-base</w:t>
            </w:r>
            <w:r w:rsidR="006B404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d</w:t>
            </w:r>
            <w:r w:rsidR="00E308E6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or event</w:t>
            </w:r>
            <w:r w:rsidR="00B8128B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-</w:t>
            </w:r>
            <w:r w:rsidR="00E308E6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driven market engagement </w:t>
            </w:r>
          </w:p>
        </w:tc>
      </w:tr>
      <w:tr w:rsidR="00E3519C" w:rsidRPr="00E3519C" w14:paraId="2A9E9501" w14:textId="77777777" w:rsidTr="00104658">
        <w:trPr>
          <w:trHeight w:val="340"/>
        </w:trPr>
        <w:tc>
          <w:tcPr>
            <w:tcW w:w="9016" w:type="dxa"/>
            <w:vAlign w:val="center"/>
          </w:tcPr>
          <w:p w14:paraId="6D13B95E" w14:textId="77777777" w:rsidR="00FB3052" w:rsidRPr="00F5483D" w:rsidRDefault="001579BE" w:rsidP="002A57D1">
            <w:pPr>
              <w:spacing w:after="0" w:line="240" w:lineRule="auto"/>
              <w:rPr>
                <w:rFonts w:ascii="Century Gothic" w:hAnsi="Century Gothic"/>
                <w:color w:val="000000" w:themeColor="text1"/>
                <w:shd w:val="clear" w:color="auto" w:fill="FFFF00"/>
              </w:rPr>
            </w:pPr>
            <w:r w:rsidRPr="00F5483D">
              <w:rPr>
                <w:rFonts w:ascii="Century Gothic" w:hAnsi="Century Gothic"/>
                <w:color w:val="000000" w:themeColor="text1"/>
              </w:rPr>
              <w:t>Internal development and processes</w:t>
            </w:r>
          </w:p>
          <w:p w14:paraId="182EC9AA" w14:textId="0C01591D" w:rsidR="00FB3052" w:rsidRPr="00F5483D" w:rsidRDefault="00FB3052" w:rsidP="002A57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4"/>
                <w:szCs w:val="24"/>
                <w:lang w:val="en-GB" w:eastAsia="en-GB"/>
              </w:rPr>
            </w:pPr>
            <w:r w:rsidRPr="00F5483D">
              <w:rPr>
                <w:rFonts w:ascii="Century Gothic" w:hAnsi="Century Gothic"/>
                <w:color w:val="000000" w:themeColor="text1"/>
              </w:rPr>
              <w:t xml:space="preserve">Building </w:t>
            </w:r>
            <w:r w:rsidR="00FA7368">
              <w:rPr>
                <w:rFonts w:ascii="Century Gothic" w:hAnsi="Century Gothic"/>
                <w:color w:val="000000" w:themeColor="text1"/>
              </w:rPr>
              <w:t xml:space="preserve">the </w:t>
            </w:r>
            <w:r w:rsidRPr="00F5483D">
              <w:rPr>
                <w:rFonts w:ascii="Century Gothic" w:hAnsi="Century Gothic"/>
                <w:color w:val="000000" w:themeColor="text1"/>
              </w:rPr>
              <w:t>profile of IR with the Board</w:t>
            </w:r>
            <w:r w:rsidR="00E308E6">
              <w:rPr>
                <w:rFonts w:ascii="Century Gothic" w:hAnsi="Century Gothic"/>
                <w:color w:val="000000" w:themeColor="text1"/>
              </w:rPr>
              <w:t xml:space="preserve"> or key internal stakeholders </w:t>
            </w:r>
          </w:p>
          <w:p w14:paraId="11EB39AE" w14:textId="0FCD037C" w:rsidR="00FB3052" w:rsidRPr="00F84013" w:rsidRDefault="001579BE" w:rsidP="002A57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4"/>
                <w:szCs w:val="24"/>
                <w:lang w:val="en-GB" w:eastAsia="en-GB"/>
              </w:rPr>
            </w:pPr>
            <w:r w:rsidRPr="00F5483D">
              <w:rPr>
                <w:rFonts w:ascii="Century Gothic" w:hAnsi="Century Gothic"/>
                <w:color w:val="000000" w:themeColor="text1"/>
              </w:rPr>
              <w:t>Collaboration with other department</w:t>
            </w:r>
            <w:r w:rsidR="00FB3052" w:rsidRPr="00F5483D">
              <w:rPr>
                <w:rFonts w:ascii="Century Gothic" w:hAnsi="Century Gothic"/>
                <w:color w:val="000000" w:themeColor="text1"/>
              </w:rPr>
              <w:t>s</w:t>
            </w:r>
            <w:r w:rsidR="008C2365">
              <w:rPr>
                <w:rFonts w:ascii="Century Gothic" w:hAnsi="Century Gothic"/>
                <w:color w:val="000000" w:themeColor="text1"/>
              </w:rPr>
              <w:t xml:space="preserve"> - strategy, sustainability, co sec, finance</w:t>
            </w:r>
            <w:r w:rsidR="00206572">
              <w:rPr>
                <w:rFonts w:ascii="Century Gothic" w:hAnsi="Century Gothic"/>
                <w:color w:val="000000" w:themeColor="text1"/>
              </w:rPr>
              <w:t>,</w:t>
            </w:r>
            <w:r w:rsidR="008C2365">
              <w:rPr>
                <w:rFonts w:ascii="Century Gothic" w:hAnsi="Century Gothic"/>
                <w:color w:val="000000" w:themeColor="text1"/>
              </w:rPr>
              <w:t xml:space="preserve"> etc. </w:t>
            </w:r>
          </w:p>
          <w:p w14:paraId="470B599A" w14:textId="301CBAEC" w:rsidR="00F93617" w:rsidRPr="00F5483D" w:rsidRDefault="00F84013" w:rsidP="002A57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Century Gothic" w:hAnsi="Century Gothic"/>
                <w:color w:val="000000" w:themeColor="text1"/>
              </w:rPr>
              <w:t>IR t</w:t>
            </w:r>
            <w:r w:rsidR="00F93617">
              <w:rPr>
                <w:rFonts w:ascii="Century Gothic" w:hAnsi="Century Gothic"/>
                <w:color w:val="000000" w:themeColor="text1"/>
              </w:rPr>
              <w:t xml:space="preserve">eam structure, staffing, </w:t>
            </w:r>
            <w:r>
              <w:rPr>
                <w:rFonts w:ascii="Century Gothic" w:hAnsi="Century Gothic"/>
                <w:color w:val="000000" w:themeColor="text1"/>
              </w:rPr>
              <w:t>functions</w:t>
            </w:r>
          </w:p>
          <w:p w14:paraId="74ACF777" w14:textId="19AAE2B8" w:rsidR="00E3519C" w:rsidRPr="00F5483D" w:rsidRDefault="00E308E6" w:rsidP="002A57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Century Gothic" w:hAnsi="Century Gothic"/>
                <w:color w:val="000000" w:themeColor="text1"/>
              </w:rPr>
              <w:t>Enhancing s</w:t>
            </w:r>
            <w:r w:rsidR="00695CBE">
              <w:rPr>
                <w:rFonts w:ascii="Century Gothic" w:hAnsi="Century Gothic"/>
                <w:color w:val="000000" w:themeColor="text1"/>
              </w:rPr>
              <w:t>kills</w:t>
            </w:r>
            <w:r w:rsidR="00F93617">
              <w:rPr>
                <w:rFonts w:ascii="Century Gothic" w:hAnsi="Century Gothic"/>
                <w:color w:val="000000" w:themeColor="text1"/>
              </w:rPr>
              <w:t xml:space="preserve"> and technical</w:t>
            </w:r>
            <w:r w:rsidR="00695CBE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1579BE" w:rsidRPr="00F5483D">
              <w:rPr>
                <w:rFonts w:ascii="Century Gothic" w:hAnsi="Century Gothic"/>
                <w:color w:val="000000" w:themeColor="text1"/>
              </w:rPr>
              <w:t>development</w:t>
            </w:r>
            <w:r>
              <w:rPr>
                <w:rFonts w:ascii="Century Gothic" w:hAnsi="Century Gothic"/>
                <w:color w:val="000000" w:themeColor="text1"/>
              </w:rPr>
              <w:t xml:space="preserve"> of IR team </w:t>
            </w:r>
          </w:p>
        </w:tc>
      </w:tr>
      <w:tr w:rsidR="00E3519C" w:rsidRPr="00E3519C" w14:paraId="118E225C" w14:textId="77777777" w:rsidTr="00104658">
        <w:trPr>
          <w:trHeight w:val="340"/>
        </w:trPr>
        <w:tc>
          <w:tcPr>
            <w:tcW w:w="9016" w:type="dxa"/>
            <w:vAlign w:val="center"/>
          </w:tcPr>
          <w:p w14:paraId="050A5103" w14:textId="4BC8729A" w:rsidR="001D3B8C" w:rsidRPr="00F5483D" w:rsidRDefault="0026241C" w:rsidP="002A57D1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Century Gothic" w:hAnsi="Century Gothic"/>
                <w:color w:val="000000" w:themeColor="text1"/>
                <w:shd w:val="clear" w:color="auto" w:fill="FFFFFF"/>
              </w:rPr>
              <w:t>I</w:t>
            </w:r>
            <w:r w:rsidR="001D3B8C" w:rsidRPr="00F5483D">
              <w:rPr>
                <w:rFonts w:ascii="Century Gothic" w:hAnsi="Century Gothic"/>
                <w:color w:val="000000" w:themeColor="text1"/>
                <w:shd w:val="clear" w:color="auto" w:fill="FFFFFF"/>
              </w:rPr>
              <w:t>nsight and Intelligence</w:t>
            </w:r>
          </w:p>
          <w:p w14:paraId="77D2936A" w14:textId="77777777" w:rsidR="001D3B8C" w:rsidRPr="00F5483D" w:rsidRDefault="001D3B8C" w:rsidP="002A57D1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Development of metrics to assist with valuation</w:t>
            </w:r>
          </w:p>
          <w:p w14:paraId="646E339B" w14:textId="63E15BE7" w:rsidR="001D3B8C" w:rsidRPr="00F5483D" w:rsidRDefault="00A162B6" w:rsidP="002A57D1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Access to and u</w:t>
            </w:r>
            <w:r w:rsidR="001D3B8C" w:rsidRPr="00F5483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se of market intelligence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– share price, trading, feedback</w:t>
            </w:r>
            <w:r w:rsidR="00B03D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, corporate brokers</w:t>
            </w:r>
          </w:p>
          <w:p w14:paraId="72BEA2F0" w14:textId="524487A6" w:rsidR="001D3B8C" w:rsidRDefault="001D3B8C" w:rsidP="002A57D1">
            <w:pPr>
              <w:pStyle w:val="xmso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Investor </w:t>
            </w:r>
            <w:r w:rsidR="00623EB5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identification and </w:t>
            </w:r>
            <w:r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targeting</w:t>
            </w:r>
          </w:p>
          <w:p w14:paraId="28252FCE" w14:textId="77DFA1BC" w:rsidR="00623EB5" w:rsidRPr="00F5483D" w:rsidRDefault="00623EB5" w:rsidP="002A57D1">
            <w:pPr>
              <w:pStyle w:val="xmso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Consensus management</w:t>
            </w:r>
          </w:p>
          <w:p w14:paraId="20C71C1C" w14:textId="4276644A" w:rsidR="00E3519C" w:rsidRPr="00F5483D" w:rsidRDefault="001D3B8C" w:rsidP="002A57D1">
            <w:pPr>
              <w:pStyle w:val="xmso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 w:cs="Segoe UI"/>
                <w:color w:val="000000" w:themeColor="text1"/>
                <w:sz w:val="22"/>
                <w:szCs w:val="22"/>
              </w:rPr>
              <w:t>Guidance</w:t>
            </w:r>
          </w:p>
        </w:tc>
      </w:tr>
      <w:tr w:rsidR="00E3519C" w:rsidRPr="00E3519C" w14:paraId="799833D3" w14:textId="77777777" w:rsidTr="00104658">
        <w:trPr>
          <w:trHeight w:val="340"/>
        </w:trPr>
        <w:tc>
          <w:tcPr>
            <w:tcW w:w="9016" w:type="dxa"/>
            <w:vAlign w:val="center"/>
          </w:tcPr>
          <w:p w14:paraId="41293920" w14:textId="77777777" w:rsidR="001D3B8C" w:rsidRPr="00F5483D" w:rsidRDefault="001D3B8C" w:rsidP="002A57D1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4"/>
                <w:szCs w:val="24"/>
                <w:lang w:val="en-GB" w:eastAsia="en-GB"/>
              </w:rPr>
            </w:pPr>
            <w:r w:rsidRPr="00F5483D">
              <w:rPr>
                <w:rFonts w:ascii="Century Gothic" w:hAnsi="Century Gothic"/>
                <w:color w:val="000000" w:themeColor="text1"/>
              </w:rPr>
              <w:t>Technology</w:t>
            </w:r>
          </w:p>
          <w:p w14:paraId="658163FA" w14:textId="0DA25A9C" w:rsidR="001D3B8C" w:rsidRPr="00F5483D" w:rsidRDefault="001D3B8C" w:rsidP="002A57D1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F5483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</w:rPr>
              <w:t>Ad</w:t>
            </w:r>
            <w:r w:rsidR="00FB3052" w:rsidRPr="00F5483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r w:rsidRPr="00F5483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ption of new technology (internally or </w:t>
            </w:r>
            <w:r w:rsidRPr="00F5483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externally)</w:t>
            </w:r>
          </w:p>
          <w:p w14:paraId="0908EBCE" w14:textId="77777777" w:rsidR="00E3519C" w:rsidRPr="008B6288" w:rsidRDefault="001D3B8C" w:rsidP="002A57D1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entury Gothic" w:hAnsi="Century Gothic"/>
                <w:color w:val="000000" w:themeColor="text1"/>
              </w:rPr>
            </w:pPr>
            <w:r w:rsidRPr="00F5483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Back end/front end </w:t>
            </w:r>
            <w:r w:rsidR="00C6138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technology </w:t>
            </w:r>
            <w:r w:rsidRPr="00F5483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improvements</w:t>
            </w:r>
          </w:p>
          <w:p w14:paraId="14C8E224" w14:textId="37E97914" w:rsidR="008B6288" w:rsidRPr="00F5483D" w:rsidRDefault="008B6288" w:rsidP="002A57D1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Consideration of AI and the innovation it can bring in the IR space. </w:t>
            </w:r>
          </w:p>
        </w:tc>
      </w:tr>
    </w:tbl>
    <w:p w14:paraId="4D62D812" w14:textId="112A9470" w:rsidR="00236151" w:rsidRDefault="00236151" w:rsidP="002A57D1">
      <w:pPr>
        <w:spacing w:line="240" w:lineRule="auto"/>
        <w:rPr>
          <w:rFonts w:ascii="Century Gothic" w:hAnsi="Century Gothic" w:cs="Calibri"/>
          <w:sz w:val="20"/>
          <w:szCs w:val="20"/>
        </w:rPr>
      </w:pPr>
    </w:p>
    <w:p w14:paraId="64909E93" w14:textId="0979E136" w:rsidR="0081232F" w:rsidRDefault="0081232F" w:rsidP="002A57D1">
      <w:pPr>
        <w:spacing w:line="240" w:lineRule="auto"/>
        <w:rPr>
          <w:rFonts w:ascii="Century Gothic" w:hAnsi="Century Gothic" w:cs="Calibri"/>
          <w:sz w:val="20"/>
          <w:szCs w:val="20"/>
        </w:rPr>
      </w:pPr>
      <w:r w:rsidRPr="0079157D">
        <w:rPr>
          <w:rFonts w:ascii="Century Gothic" w:hAnsi="Century Gothic" w:cs="Arial"/>
          <w:b/>
          <w:bCs/>
          <w:noProof/>
          <w:color w:val="00B0F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3C17C55" wp14:editId="50CB86B2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6094730" cy="4360545"/>
                <wp:effectExtent l="0" t="0" r="20320" b="2095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436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4489" w14:textId="77777777" w:rsidR="0081232F" w:rsidRPr="00A72CAD" w:rsidRDefault="0081232F" w:rsidP="0081232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(Max. 800 words:)</w:t>
                            </w:r>
                          </w:p>
                          <w:p w14:paraId="45BE1D40" w14:textId="77777777" w:rsidR="0081232F" w:rsidRDefault="0081232F" w:rsidP="00812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3C17C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3.85pt;width:479.9pt;height:34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M1EQIAACAEAAAOAAAAZHJzL2Uyb0RvYy54bWysU9tu2zAMfR+wfxD0vthJnb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">
                <v:textbox>
                  <w:txbxContent>
                    <w:p w14:paraId="435C4489" w14:textId="77777777" w:rsidR="0081232F" w:rsidRPr="00A72CAD" w:rsidRDefault="0081232F" w:rsidP="0081232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(Max. 800 words:)</w:t>
                      </w:r>
                    </w:p>
                    <w:p w14:paraId="45BE1D40" w14:textId="77777777" w:rsidR="0081232F" w:rsidRDefault="0081232F" w:rsidP="0081232F"/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298D3FCA" w14:textId="23AC8FCA" w:rsidR="00F06FDA" w:rsidRDefault="0074146B" w:rsidP="002A57D1">
      <w:pPr>
        <w:spacing w:line="240" w:lineRule="auto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Please p</w:t>
      </w:r>
      <w:r w:rsidR="00F06FDA" w:rsidRPr="00E3519C">
        <w:rPr>
          <w:rFonts w:ascii="Century Gothic" w:hAnsi="Century Gothic"/>
          <w:i/>
        </w:rPr>
        <w:t>rovide any links to relevant material to support your submission</w:t>
      </w:r>
      <w:r w:rsidR="00F06FDA">
        <w:rPr>
          <w:rFonts w:ascii="Century Gothic" w:hAnsi="Century Gothic"/>
          <w:i/>
        </w:rPr>
        <w:t xml:space="preserve"> and evidence </w:t>
      </w:r>
      <w:r w:rsidR="009C03C9">
        <w:rPr>
          <w:rFonts w:ascii="Century Gothic" w:hAnsi="Century Gothic"/>
          <w:i/>
        </w:rPr>
        <w:t>the example and its success</w:t>
      </w:r>
      <w:r w:rsidR="00F06FDA" w:rsidRPr="00E3519C">
        <w:rPr>
          <w:rFonts w:ascii="Century Gothic" w:hAnsi="Century Gothic"/>
          <w:i/>
        </w:rPr>
        <w:t xml:space="preserve">. </w:t>
      </w:r>
    </w:p>
    <w:p w14:paraId="3ACDF78B" w14:textId="77DF2A83" w:rsidR="00975D7A" w:rsidRPr="00F06FDA" w:rsidRDefault="00CC186B" w:rsidP="002A57D1">
      <w:pPr>
        <w:spacing w:line="240" w:lineRule="auto"/>
        <w:rPr>
          <w:rFonts w:ascii="Century Gothic" w:hAnsi="Century Gothic"/>
          <w:i/>
        </w:rPr>
      </w:pPr>
      <w:r w:rsidRPr="002B1430">
        <w:rPr>
          <w:rFonts w:ascii="Century Gothic" w:hAnsi="Century Gothic"/>
          <w:i/>
        </w:rPr>
        <w:t xml:space="preserve">Please note Small-cap, Mid-cap and Large-cap criteria will be comparable to FTSE 100, 250 and Small-cap sizes as at </w:t>
      </w:r>
      <w:r w:rsidR="00C44C84">
        <w:rPr>
          <w:rFonts w:ascii="Century Gothic" w:hAnsi="Century Gothic"/>
          <w:i/>
        </w:rPr>
        <w:t xml:space="preserve">31 </w:t>
      </w:r>
      <w:r w:rsidRPr="002B1430">
        <w:rPr>
          <w:rFonts w:ascii="Century Gothic" w:hAnsi="Century Gothic"/>
          <w:i/>
        </w:rPr>
        <w:t>March, 202</w:t>
      </w:r>
      <w:r w:rsidR="0081232F">
        <w:rPr>
          <w:rFonts w:ascii="Century Gothic" w:hAnsi="Century Gothic"/>
          <w:i/>
        </w:rPr>
        <w:t>4</w:t>
      </w:r>
      <w:r w:rsidRPr="002B1430">
        <w:rPr>
          <w:rFonts w:ascii="Century Gothic" w:hAnsi="Century Gothic"/>
          <w:i/>
        </w:rPr>
        <w:t>.</w:t>
      </w:r>
      <w:r w:rsidRPr="002B1430">
        <w:rPr>
          <w:rFonts w:ascii="Century Gothic" w:hAnsi="Century Gothic"/>
          <w:i/>
          <w:iCs/>
        </w:rPr>
        <w:t xml:space="preserve"> </w:t>
      </w:r>
    </w:p>
    <w:sectPr w:rsidR="00975D7A" w:rsidRPr="00F06FDA" w:rsidSect="00A56ED2">
      <w:headerReference w:type="default" r:id="rId11"/>
      <w:footerReference w:type="default" r:id="rId12"/>
      <w:pgSz w:w="11906" w:h="16838"/>
      <w:pgMar w:top="2269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EF7A" w14:textId="77777777" w:rsidR="00A56ED2" w:rsidRDefault="00A56ED2" w:rsidP="00704809">
      <w:pPr>
        <w:spacing w:after="0" w:line="240" w:lineRule="auto"/>
      </w:pPr>
      <w:r>
        <w:separator/>
      </w:r>
    </w:p>
  </w:endnote>
  <w:endnote w:type="continuationSeparator" w:id="0">
    <w:p w14:paraId="627850A7" w14:textId="77777777" w:rsidR="00A56ED2" w:rsidRDefault="00A56ED2" w:rsidP="00704809">
      <w:pPr>
        <w:spacing w:after="0" w:line="240" w:lineRule="auto"/>
      </w:pPr>
      <w:r>
        <w:continuationSeparator/>
      </w:r>
    </w:p>
  </w:endnote>
  <w:endnote w:type="continuationNotice" w:id="1">
    <w:p w14:paraId="6F6C4610" w14:textId="77777777" w:rsidR="00A56ED2" w:rsidRDefault="00A56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0F02" w14:textId="7C1E37E6" w:rsidR="00704809" w:rsidRPr="00F8506E" w:rsidRDefault="00774D92" w:rsidP="00704809">
    <w:pPr>
      <w:pStyle w:val="Footer"/>
      <w:rPr>
        <w:color w:val="262626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31BC6" wp14:editId="140FFEF6">
          <wp:simplePos x="0" y="0"/>
          <wp:positionH relativeFrom="margin">
            <wp:posOffset>-72390</wp:posOffset>
          </wp:positionH>
          <wp:positionV relativeFrom="paragraph">
            <wp:posOffset>-26670</wp:posOffset>
          </wp:positionV>
          <wp:extent cx="5731510" cy="522605"/>
          <wp:effectExtent l="0" t="0" r="0" b="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809" w:rsidRPr="00F8506E">
      <w:rPr>
        <w:color w:val="262626"/>
        <w:sz w:val="14"/>
      </w:rPr>
      <w:t xml:space="preserve">t: +44 (0) 20 </w:t>
    </w:r>
    <w:r w:rsidR="006B377B">
      <w:rPr>
        <w:color w:val="262626"/>
        <w:sz w:val="14"/>
      </w:rPr>
      <w:t>3978 1980</w:t>
    </w:r>
    <w:r w:rsidR="006B377B" w:rsidRPr="00F8506E">
      <w:rPr>
        <w:color w:val="262626"/>
        <w:sz w:val="14"/>
      </w:rPr>
      <w:t xml:space="preserve">  </w:t>
    </w:r>
    <w:r w:rsidR="00704809" w:rsidRPr="00F8506E">
      <w:rPr>
        <w:color w:val="262626"/>
        <w:sz w:val="14"/>
      </w:rPr>
      <w:t xml:space="preserve">|  </w:t>
    </w:r>
    <w:r w:rsidR="00033905" w:rsidRPr="00F8506E">
      <w:rPr>
        <w:color w:val="262626"/>
        <w:sz w:val="14"/>
      </w:rPr>
      <w:t>enquiries@irsociety.org.uk  |  www.irsociety.org.uk</w:t>
    </w:r>
  </w:p>
  <w:p w14:paraId="306E8962" w14:textId="77777777" w:rsidR="00704809" w:rsidRPr="00F8506E" w:rsidRDefault="00704809" w:rsidP="00704809">
    <w:pPr>
      <w:pStyle w:val="Footer"/>
      <w:rPr>
        <w:color w:val="262626"/>
        <w:sz w:val="14"/>
      </w:rPr>
    </w:pPr>
  </w:p>
  <w:p w14:paraId="1B993D49" w14:textId="75F45984" w:rsidR="00704809" w:rsidRPr="00F8506E" w:rsidRDefault="00704809" w:rsidP="00704809">
    <w:pPr>
      <w:pStyle w:val="Footer"/>
      <w:rPr>
        <w:color w:val="262626"/>
        <w:sz w:val="14"/>
      </w:rPr>
    </w:pPr>
    <w:r w:rsidRPr="00F8506E">
      <w:rPr>
        <w:color w:val="262626"/>
        <w:sz w:val="14"/>
      </w:rPr>
      <w:t xml:space="preserve">The Investor Relations Society, </w:t>
    </w:r>
    <w:r w:rsidR="00675FB8" w:rsidRPr="003B2DDD">
      <w:rPr>
        <w:rFonts w:asciiTheme="minorHAnsi" w:hAnsiTheme="minorHAnsi" w:cstheme="minorHAnsi"/>
        <w:sz w:val="14"/>
        <w:szCs w:val="14"/>
        <w:lang w:val="en-US"/>
        <w14:ligatures w14:val="standardContextual"/>
      </w:rPr>
      <w:t>Office 717, 70 Gracechurch Street, London EC3V 0HR</w:t>
    </w:r>
  </w:p>
  <w:p w14:paraId="60D0D456" w14:textId="77777777" w:rsidR="00704809" w:rsidRPr="00F8506E" w:rsidRDefault="00704809" w:rsidP="00704809">
    <w:pPr>
      <w:pStyle w:val="Footer"/>
      <w:rPr>
        <w:color w:val="262626"/>
        <w:sz w:val="14"/>
      </w:rPr>
    </w:pPr>
    <w:r w:rsidRPr="00F8506E">
      <w:rPr>
        <w:color w:val="262626"/>
        <w:sz w:val="14"/>
      </w:rPr>
      <w:t xml:space="preserve">Registered in England no </w:t>
    </w:r>
    <w:r w:rsidR="00033905" w:rsidRPr="00F8506E">
      <w:rPr>
        <w:color w:val="262626"/>
        <w:sz w:val="14"/>
      </w:rPr>
      <w:t>0</w:t>
    </w:r>
    <w:r w:rsidRPr="00F8506E">
      <w:rPr>
        <w:color w:val="262626"/>
        <w:sz w:val="14"/>
      </w:rPr>
      <w:t>2294631</w:t>
    </w:r>
  </w:p>
  <w:p w14:paraId="466ED7A2" w14:textId="3DD805EB" w:rsidR="00704809" w:rsidRPr="00F8506E" w:rsidRDefault="00704809" w:rsidP="00704809">
    <w:pPr>
      <w:pStyle w:val="Footer"/>
      <w:rPr>
        <w:color w:val="262626"/>
        <w:sz w:val="14"/>
      </w:rPr>
    </w:pPr>
    <w:r w:rsidRPr="00F8506E">
      <w:rPr>
        <w:color w:val="262626"/>
        <w:sz w:val="14"/>
      </w:rPr>
      <w:t xml:space="preserve">Registered Office: The Investor Relations Society, </w:t>
    </w:r>
    <w:r w:rsidR="00675FB8" w:rsidRPr="003B2DDD">
      <w:rPr>
        <w:rFonts w:asciiTheme="minorHAnsi" w:hAnsiTheme="minorHAnsi" w:cstheme="minorHAnsi"/>
        <w:sz w:val="14"/>
        <w:szCs w:val="14"/>
        <w:lang w:val="en-US"/>
        <w14:ligatures w14:val="standardContextual"/>
      </w:rPr>
      <w:t>Office 717, 70 Gracechurch Street, London EC3V 0HR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023C" w14:textId="77777777" w:rsidR="00A56ED2" w:rsidRDefault="00A56ED2" w:rsidP="00704809">
      <w:pPr>
        <w:spacing w:after="0" w:line="240" w:lineRule="auto"/>
      </w:pPr>
      <w:r>
        <w:separator/>
      </w:r>
    </w:p>
  </w:footnote>
  <w:footnote w:type="continuationSeparator" w:id="0">
    <w:p w14:paraId="779DAFC3" w14:textId="77777777" w:rsidR="00A56ED2" w:rsidRDefault="00A56ED2" w:rsidP="00704809">
      <w:pPr>
        <w:spacing w:after="0" w:line="240" w:lineRule="auto"/>
      </w:pPr>
      <w:r>
        <w:continuationSeparator/>
      </w:r>
    </w:p>
  </w:footnote>
  <w:footnote w:type="continuationNotice" w:id="1">
    <w:p w14:paraId="251305C7" w14:textId="77777777" w:rsidR="00A56ED2" w:rsidRDefault="00A56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9C4E" w14:textId="7786C737" w:rsidR="00704809" w:rsidRPr="006A707B" w:rsidRDefault="00774D92" w:rsidP="006A707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789D0FB" wp14:editId="715C2866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1397000" cy="845185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7AE"/>
    <w:multiLevelType w:val="hybridMultilevel"/>
    <w:tmpl w:val="6524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77E"/>
    <w:multiLevelType w:val="multilevel"/>
    <w:tmpl w:val="CFBE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00487"/>
    <w:multiLevelType w:val="hybridMultilevel"/>
    <w:tmpl w:val="A374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393C"/>
    <w:multiLevelType w:val="hybridMultilevel"/>
    <w:tmpl w:val="ED4E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2F09"/>
    <w:multiLevelType w:val="hybridMultilevel"/>
    <w:tmpl w:val="556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25D8"/>
    <w:multiLevelType w:val="hybridMultilevel"/>
    <w:tmpl w:val="26DC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387D"/>
    <w:multiLevelType w:val="hybridMultilevel"/>
    <w:tmpl w:val="93B4F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668BD"/>
    <w:multiLevelType w:val="hybridMultilevel"/>
    <w:tmpl w:val="2B0A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7ECA"/>
    <w:multiLevelType w:val="multilevel"/>
    <w:tmpl w:val="D064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8321B"/>
    <w:multiLevelType w:val="hybridMultilevel"/>
    <w:tmpl w:val="7C1CD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2E88"/>
    <w:multiLevelType w:val="hybridMultilevel"/>
    <w:tmpl w:val="D50E2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CA9"/>
    <w:multiLevelType w:val="hybridMultilevel"/>
    <w:tmpl w:val="755E1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11619"/>
    <w:multiLevelType w:val="multilevel"/>
    <w:tmpl w:val="C40E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7341B"/>
    <w:multiLevelType w:val="hybridMultilevel"/>
    <w:tmpl w:val="84B0E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32D0"/>
    <w:multiLevelType w:val="hybridMultilevel"/>
    <w:tmpl w:val="7F0A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403"/>
    <w:multiLevelType w:val="multilevel"/>
    <w:tmpl w:val="F8D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083AB2"/>
    <w:multiLevelType w:val="hybridMultilevel"/>
    <w:tmpl w:val="0DD0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C278B"/>
    <w:multiLevelType w:val="hybridMultilevel"/>
    <w:tmpl w:val="690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E251F"/>
    <w:multiLevelType w:val="hybridMultilevel"/>
    <w:tmpl w:val="8CDC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87E19"/>
    <w:multiLevelType w:val="multilevel"/>
    <w:tmpl w:val="B89E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04EBA"/>
    <w:multiLevelType w:val="multilevel"/>
    <w:tmpl w:val="D5B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B4F1A"/>
    <w:multiLevelType w:val="hybridMultilevel"/>
    <w:tmpl w:val="5F92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C1177"/>
    <w:multiLevelType w:val="multilevel"/>
    <w:tmpl w:val="7492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5B6AD4"/>
    <w:multiLevelType w:val="hybridMultilevel"/>
    <w:tmpl w:val="0B7E30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65165C"/>
    <w:multiLevelType w:val="multilevel"/>
    <w:tmpl w:val="07D0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C12CC6"/>
    <w:multiLevelType w:val="hybridMultilevel"/>
    <w:tmpl w:val="AFAA8E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4A7C81"/>
    <w:multiLevelType w:val="hybridMultilevel"/>
    <w:tmpl w:val="8BBC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20AAB"/>
    <w:multiLevelType w:val="hybridMultilevel"/>
    <w:tmpl w:val="F034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A6A99"/>
    <w:multiLevelType w:val="hybridMultilevel"/>
    <w:tmpl w:val="883C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34B5A"/>
    <w:multiLevelType w:val="hybridMultilevel"/>
    <w:tmpl w:val="FD9A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90098">
    <w:abstractNumId w:val="2"/>
  </w:num>
  <w:num w:numId="2" w16cid:durableId="1012955498">
    <w:abstractNumId w:val="5"/>
  </w:num>
  <w:num w:numId="3" w16cid:durableId="876042345">
    <w:abstractNumId w:val="4"/>
  </w:num>
  <w:num w:numId="4" w16cid:durableId="746077378">
    <w:abstractNumId w:val="29"/>
  </w:num>
  <w:num w:numId="5" w16cid:durableId="1056855888">
    <w:abstractNumId w:val="27"/>
  </w:num>
  <w:num w:numId="6" w16cid:durableId="1429425425">
    <w:abstractNumId w:val="7"/>
  </w:num>
  <w:num w:numId="7" w16cid:durableId="1805655098">
    <w:abstractNumId w:val="16"/>
  </w:num>
  <w:num w:numId="8" w16cid:durableId="1865709060">
    <w:abstractNumId w:val="3"/>
  </w:num>
  <w:num w:numId="9" w16cid:durableId="168102334">
    <w:abstractNumId w:val="21"/>
  </w:num>
  <w:num w:numId="10" w16cid:durableId="247349933">
    <w:abstractNumId w:val="0"/>
  </w:num>
  <w:num w:numId="11" w16cid:durableId="280692122">
    <w:abstractNumId w:val="6"/>
  </w:num>
  <w:num w:numId="12" w16cid:durableId="1532651176">
    <w:abstractNumId w:val="9"/>
  </w:num>
  <w:num w:numId="13" w16cid:durableId="772474556">
    <w:abstractNumId w:val="23"/>
  </w:num>
  <w:num w:numId="14" w16cid:durableId="1573077242">
    <w:abstractNumId w:val="25"/>
  </w:num>
  <w:num w:numId="15" w16cid:durableId="707678177">
    <w:abstractNumId w:val="10"/>
  </w:num>
  <w:num w:numId="16" w16cid:durableId="1310402990">
    <w:abstractNumId w:val="17"/>
  </w:num>
  <w:num w:numId="17" w16cid:durableId="364254962">
    <w:abstractNumId w:val="11"/>
  </w:num>
  <w:num w:numId="18" w16cid:durableId="1475876731">
    <w:abstractNumId w:val="13"/>
  </w:num>
  <w:num w:numId="19" w16cid:durableId="1572889721">
    <w:abstractNumId w:val="20"/>
  </w:num>
  <w:num w:numId="20" w16cid:durableId="691344978">
    <w:abstractNumId w:val="22"/>
  </w:num>
  <w:num w:numId="21" w16cid:durableId="1766342923">
    <w:abstractNumId w:val="26"/>
  </w:num>
  <w:num w:numId="22" w16cid:durableId="628173626">
    <w:abstractNumId w:val="15"/>
  </w:num>
  <w:num w:numId="23" w16cid:durableId="1263297744">
    <w:abstractNumId w:val="12"/>
  </w:num>
  <w:num w:numId="24" w16cid:durableId="1397826601">
    <w:abstractNumId w:val="19"/>
  </w:num>
  <w:num w:numId="25" w16cid:durableId="2133472168">
    <w:abstractNumId w:val="24"/>
  </w:num>
  <w:num w:numId="26" w16cid:durableId="1425610125">
    <w:abstractNumId w:val="8"/>
  </w:num>
  <w:num w:numId="27" w16cid:durableId="668214076">
    <w:abstractNumId w:val="18"/>
  </w:num>
  <w:num w:numId="28" w16cid:durableId="2079742490">
    <w:abstractNumId w:val="14"/>
  </w:num>
  <w:num w:numId="29" w16cid:durableId="1184827489">
    <w:abstractNumId w:val="28"/>
  </w:num>
  <w:num w:numId="30" w16cid:durableId="124145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CC"/>
    <w:rsid w:val="000066CF"/>
    <w:rsid w:val="0001081B"/>
    <w:rsid w:val="000307BD"/>
    <w:rsid w:val="00032547"/>
    <w:rsid w:val="00033905"/>
    <w:rsid w:val="00036D06"/>
    <w:rsid w:val="000722C3"/>
    <w:rsid w:val="000A2CBF"/>
    <w:rsid w:val="000A793E"/>
    <w:rsid w:val="000D5B76"/>
    <w:rsid w:val="00104658"/>
    <w:rsid w:val="001332D4"/>
    <w:rsid w:val="001579BE"/>
    <w:rsid w:val="00160FC5"/>
    <w:rsid w:val="0018384F"/>
    <w:rsid w:val="001D3B8C"/>
    <w:rsid w:val="001F0555"/>
    <w:rsid w:val="00206572"/>
    <w:rsid w:val="00210769"/>
    <w:rsid w:val="00231B9C"/>
    <w:rsid w:val="00236151"/>
    <w:rsid w:val="002419E5"/>
    <w:rsid w:val="00251B2B"/>
    <w:rsid w:val="0026107E"/>
    <w:rsid w:val="0026241C"/>
    <w:rsid w:val="00267B6C"/>
    <w:rsid w:val="002716AB"/>
    <w:rsid w:val="00272757"/>
    <w:rsid w:val="002A06F9"/>
    <w:rsid w:val="002A1C28"/>
    <w:rsid w:val="002A57D1"/>
    <w:rsid w:val="002A6ECC"/>
    <w:rsid w:val="002C40AB"/>
    <w:rsid w:val="002D0C73"/>
    <w:rsid w:val="003078E1"/>
    <w:rsid w:val="0031565B"/>
    <w:rsid w:val="00381EBD"/>
    <w:rsid w:val="00385A02"/>
    <w:rsid w:val="00390154"/>
    <w:rsid w:val="003A4FC8"/>
    <w:rsid w:val="003A61CC"/>
    <w:rsid w:val="003E40BF"/>
    <w:rsid w:val="003F3A24"/>
    <w:rsid w:val="00404C24"/>
    <w:rsid w:val="004115E8"/>
    <w:rsid w:val="00414835"/>
    <w:rsid w:val="00433F9F"/>
    <w:rsid w:val="0049011E"/>
    <w:rsid w:val="004B689B"/>
    <w:rsid w:val="004D38A8"/>
    <w:rsid w:val="004D3E29"/>
    <w:rsid w:val="004E6BC5"/>
    <w:rsid w:val="00525835"/>
    <w:rsid w:val="00546201"/>
    <w:rsid w:val="00562DAC"/>
    <w:rsid w:val="00596001"/>
    <w:rsid w:val="005B5368"/>
    <w:rsid w:val="005B67FC"/>
    <w:rsid w:val="005C683B"/>
    <w:rsid w:val="005E5B4A"/>
    <w:rsid w:val="005F3C9D"/>
    <w:rsid w:val="0062354C"/>
    <w:rsid w:val="00623EB5"/>
    <w:rsid w:val="00632EAA"/>
    <w:rsid w:val="006458BC"/>
    <w:rsid w:val="006521C1"/>
    <w:rsid w:val="0066448E"/>
    <w:rsid w:val="0067048D"/>
    <w:rsid w:val="00673BB4"/>
    <w:rsid w:val="00673C4D"/>
    <w:rsid w:val="0067558E"/>
    <w:rsid w:val="00675FB8"/>
    <w:rsid w:val="00683460"/>
    <w:rsid w:val="006859A8"/>
    <w:rsid w:val="00695CBE"/>
    <w:rsid w:val="006A0E36"/>
    <w:rsid w:val="006A707B"/>
    <w:rsid w:val="006B377B"/>
    <w:rsid w:val="006B37B8"/>
    <w:rsid w:val="006B404D"/>
    <w:rsid w:val="006C4BBE"/>
    <w:rsid w:val="006E171D"/>
    <w:rsid w:val="006F0A0E"/>
    <w:rsid w:val="00704809"/>
    <w:rsid w:val="00710549"/>
    <w:rsid w:val="00732F2B"/>
    <w:rsid w:val="0074146B"/>
    <w:rsid w:val="00762292"/>
    <w:rsid w:val="0077274F"/>
    <w:rsid w:val="00774D92"/>
    <w:rsid w:val="00774E3E"/>
    <w:rsid w:val="007A5441"/>
    <w:rsid w:val="007C3301"/>
    <w:rsid w:val="007C41F2"/>
    <w:rsid w:val="007F55A2"/>
    <w:rsid w:val="007F6C2C"/>
    <w:rsid w:val="0081232F"/>
    <w:rsid w:val="00840018"/>
    <w:rsid w:val="00853662"/>
    <w:rsid w:val="00855E65"/>
    <w:rsid w:val="0088605D"/>
    <w:rsid w:val="008B33ED"/>
    <w:rsid w:val="008B6288"/>
    <w:rsid w:val="008C2365"/>
    <w:rsid w:val="008E3FF5"/>
    <w:rsid w:val="008E753F"/>
    <w:rsid w:val="008F293A"/>
    <w:rsid w:val="009305FA"/>
    <w:rsid w:val="0094687C"/>
    <w:rsid w:val="00955A79"/>
    <w:rsid w:val="00965D2D"/>
    <w:rsid w:val="009748A5"/>
    <w:rsid w:val="00975D7A"/>
    <w:rsid w:val="00986E9E"/>
    <w:rsid w:val="00996A3F"/>
    <w:rsid w:val="009B1527"/>
    <w:rsid w:val="009B39D0"/>
    <w:rsid w:val="009B5E24"/>
    <w:rsid w:val="009C03C9"/>
    <w:rsid w:val="009C5072"/>
    <w:rsid w:val="009E3915"/>
    <w:rsid w:val="009E402E"/>
    <w:rsid w:val="009F69D0"/>
    <w:rsid w:val="00A162B6"/>
    <w:rsid w:val="00A24FA9"/>
    <w:rsid w:val="00A41FE1"/>
    <w:rsid w:val="00A56ED2"/>
    <w:rsid w:val="00A57787"/>
    <w:rsid w:val="00A62158"/>
    <w:rsid w:val="00A91DF4"/>
    <w:rsid w:val="00AB365A"/>
    <w:rsid w:val="00AB5F9E"/>
    <w:rsid w:val="00AD7B18"/>
    <w:rsid w:val="00B03DDE"/>
    <w:rsid w:val="00B06BBA"/>
    <w:rsid w:val="00B429B5"/>
    <w:rsid w:val="00B46C23"/>
    <w:rsid w:val="00B61EDB"/>
    <w:rsid w:val="00B646BB"/>
    <w:rsid w:val="00B8128B"/>
    <w:rsid w:val="00B85E90"/>
    <w:rsid w:val="00B8680B"/>
    <w:rsid w:val="00B948D1"/>
    <w:rsid w:val="00BA4E91"/>
    <w:rsid w:val="00BB6A87"/>
    <w:rsid w:val="00BC15D0"/>
    <w:rsid w:val="00BE6099"/>
    <w:rsid w:val="00C20553"/>
    <w:rsid w:val="00C2312B"/>
    <w:rsid w:val="00C344B9"/>
    <w:rsid w:val="00C345E8"/>
    <w:rsid w:val="00C44C84"/>
    <w:rsid w:val="00C60068"/>
    <w:rsid w:val="00C61383"/>
    <w:rsid w:val="00C72720"/>
    <w:rsid w:val="00C75A0B"/>
    <w:rsid w:val="00C840D2"/>
    <w:rsid w:val="00C9526A"/>
    <w:rsid w:val="00CA342B"/>
    <w:rsid w:val="00CB0A94"/>
    <w:rsid w:val="00CB183D"/>
    <w:rsid w:val="00CC186B"/>
    <w:rsid w:val="00CD6014"/>
    <w:rsid w:val="00D359A9"/>
    <w:rsid w:val="00D60726"/>
    <w:rsid w:val="00D75836"/>
    <w:rsid w:val="00D9082C"/>
    <w:rsid w:val="00D919F4"/>
    <w:rsid w:val="00DE7F89"/>
    <w:rsid w:val="00DE7F99"/>
    <w:rsid w:val="00E308E6"/>
    <w:rsid w:val="00E3519C"/>
    <w:rsid w:val="00E41FFD"/>
    <w:rsid w:val="00E53201"/>
    <w:rsid w:val="00E57B7A"/>
    <w:rsid w:val="00E60158"/>
    <w:rsid w:val="00E82C17"/>
    <w:rsid w:val="00EC1825"/>
    <w:rsid w:val="00EE0BEB"/>
    <w:rsid w:val="00EE36C4"/>
    <w:rsid w:val="00F01EB4"/>
    <w:rsid w:val="00F023A5"/>
    <w:rsid w:val="00F06FDA"/>
    <w:rsid w:val="00F5483D"/>
    <w:rsid w:val="00F710F4"/>
    <w:rsid w:val="00F73CE8"/>
    <w:rsid w:val="00F76FAE"/>
    <w:rsid w:val="00F84013"/>
    <w:rsid w:val="00F8506E"/>
    <w:rsid w:val="00F8589F"/>
    <w:rsid w:val="00F93617"/>
    <w:rsid w:val="00FA7368"/>
    <w:rsid w:val="00FB3052"/>
    <w:rsid w:val="00FB47E4"/>
    <w:rsid w:val="00FC0B1D"/>
    <w:rsid w:val="00F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892D9"/>
  <w15:chartTrackingRefBased/>
  <w15:docId w15:val="{28A9D947-7F0A-4039-8BCA-F8111BA3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6448E"/>
    <w:pPr>
      <w:spacing w:before="40" w:after="40"/>
    </w:pPr>
    <w:rPr>
      <w:rFonts w:ascii="Arial" w:hAnsi="Arial"/>
    </w:rPr>
    <w:tblPr>
      <w:tblBorders>
        <w:insideH w:val="single" w:sz="4" w:space="0" w:color="A5A5A5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nil"/>
          <w:left w:val="single" w:sz="4" w:space="0" w:color="808000"/>
          <w:bottom w:val="nil"/>
          <w:right w:val="single" w:sz="4" w:space="0" w:color="808000"/>
          <w:insideH w:val="nil"/>
          <w:insideV w:val="single" w:sz="4" w:space="0" w:color="FFFFFF"/>
          <w:tl2br w:val="nil"/>
          <w:tr2bl w:val="nil"/>
        </w:tcBorders>
        <w:shd w:val="clear" w:color="auto" w:fill="808000"/>
      </w:tcPr>
    </w:tblStylePr>
    <w:tblStylePr w:type="lastRow">
      <w:tblPr/>
      <w:tcPr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7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09"/>
  </w:style>
  <w:style w:type="paragraph" w:styleId="Footer">
    <w:name w:val="footer"/>
    <w:basedOn w:val="Normal"/>
    <w:link w:val="FooterChar"/>
    <w:uiPriority w:val="99"/>
    <w:unhideWhenUsed/>
    <w:rsid w:val="007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09"/>
  </w:style>
  <w:style w:type="paragraph" w:customStyle="1" w:styleId="Body">
    <w:name w:val="Body"/>
    <w:rsid w:val="0067048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autoRedefine/>
    <w:rsid w:val="0067048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67048D"/>
    <w:rPr>
      <w:color w:val="0000FF"/>
      <w:u w:val="single"/>
    </w:rPr>
  </w:style>
  <w:style w:type="paragraph" w:customStyle="1" w:styleId="Default">
    <w:name w:val="Default"/>
    <w:rsid w:val="0067048D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32F2B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732F2B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32F2B"/>
    <w:pPr>
      <w:ind w:left="720"/>
    </w:pPr>
  </w:style>
  <w:style w:type="table" w:styleId="TableGrid">
    <w:name w:val="Table Grid"/>
    <w:basedOn w:val="TableNormal"/>
    <w:uiPriority w:val="39"/>
    <w:rsid w:val="005258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51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C345E8"/>
  </w:style>
  <w:style w:type="paragraph" w:customStyle="1" w:styleId="xmsolistparagraph">
    <w:name w:val="x_msolistparagraph"/>
    <w:basedOn w:val="Normal"/>
    <w:rsid w:val="0025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3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24"/>
    <w:rPr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24"/>
    <w:rPr>
      <w:b/>
      <w:bCs/>
      <w:lang w:val="en-ZA" w:eastAsia="en-US"/>
    </w:rPr>
  </w:style>
  <w:style w:type="paragraph" w:styleId="Revision">
    <w:name w:val="Revision"/>
    <w:hidden/>
    <w:uiPriority w:val="99"/>
    <w:semiHidden/>
    <w:rsid w:val="00F710F4"/>
    <w:rPr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6f65b-45ad-408b-83e6-d603171ffd47">
      <Terms xmlns="http://schemas.microsoft.com/office/infopath/2007/PartnerControls"/>
    </lcf76f155ced4ddcb4097134ff3c332f>
    <TaxCatchAll xmlns="aa371740-c99b-4a91-8553-2ee9ea91d2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59FEEF42A78429520649A63060B14" ma:contentTypeVersion="18" ma:contentTypeDescription="Create a new document." ma:contentTypeScope="" ma:versionID="b85a65da7ee7df4c1e6176359c6b555b">
  <xsd:schema xmlns:xsd="http://www.w3.org/2001/XMLSchema" xmlns:xs="http://www.w3.org/2001/XMLSchema" xmlns:p="http://schemas.microsoft.com/office/2006/metadata/properties" xmlns:ns2="2ba6f65b-45ad-408b-83e6-d603171ffd47" xmlns:ns3="aa371740-c99b-4a91-8553-2ee9ea91d2f9" targetNamespace="http://schemas.microsoft.com/office/2006/metadata/properties" ma:root="true" ma:fieldsID="20b7b60e4f32cd4b137710e132eb1b5b" ns2:_="" ns3:_="">
    <xsd:import namespace="2ba6f65b-45ad-408b-83e6-d603171ffd47"/>
    <xsd:import namespace="aa371740-c99b-4a91-8553-2ee9ea91d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6f65b-45ad-408b-83e6-d603171ff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958d33-1e35-44f4-8060-d3a64c182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71740-c99b-4a91-8553-2ee9ea91d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518eb5-7507-4511-99de-331f486cbb3f}" ma:internalName="TaxCatchAll" ma:showField="CatchAllData" ma:web="aa371740-c99b-4a91-8553-2ee9ea91d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FD028-A7F7-4975-80A1-C9F2A6ACF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4F03C-AFF1-478A-AEB5-A73297367984}">
  <ds:schemaRefs>
    <ds:schemaRef ds:uri="http://schemas.microsoft.com/office/2006/metadata/properties"/>
    <ds:schemaRef ds:uri="http://schemas.microsoft.com/office/infopath/2007/PartnerControls"/>
    <ds:schemaRef ds:uri="2ba6f65b-45ad-408b-83e6-d603171ffd47"/>
    <ds:schemaRef ds:uri="aa371740-c99b-4a91-8553-2ee9ea91d2f9"/>
  </ds:schemaRefs>
</ds:datastoreItem>
</file>

<file path=customXml/itemProps3.xml><?xml version="1.0" encoding="utf-8"?>
<ds:datastoreItem xmlns:ds="http://schemas.openxmlformats.org/officeDocument/2006/customXml" ds:itemID="{F60C0690-6620-4761-8B25-759977F42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6f65b-45ad-408b-83e6-d603171ffd47"/>
    <ds:schemaRef ds:uri="aa371740-c99b-4a91-8553-2ee9ea91d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15BB5-5387-4049-AC40-C75E5B327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Burger</dc:creator>
  <cp:keywords/>
  <dc:description/>
  <cp:lastModifiedBy>Liz Cole</cp:lastModifiedBy>
  <cp:revision>8</cp:revision>
  <cp:lastPrinted>2019-01-31T02:41:00Z</cp:lastPrinted>
  <dcterms:created xsi:type="dcterms:W3CDTF">2024-05-07T08:17:00Z</dcterms:created>
  <dcterms:modified xsi:type="dcterms:W3CDTF">2024-05-08T05:43:00Z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0x0101006B259FEEF42A78429520649A63060B14</vt:lpwstr>
  </property>
  <property fmtid="{D5CDD505-2E9C-101B-9397-08002B2CF9AE}" pid="3" name="Order">
    <vt:r8>1732800</vt:r8>
  </property>
  <property fmtid="{D5CDD505-2E9C-101B-9397-08002B2CF9AE}" pid="4" name="MediaServiceImageTags">
    <vt:lpwstr/>
  </property>
</Properties>
</file>